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C14">
      <w:pPr>
        <w:jc w:val="center"/>
      </w:pPr>
      <w:bookmarkStart w:id="0" w:name="_GoBack"/>
      <w:bookmarkEnd w:id="0"/>
      <w:r>
        <w:rPr>
          <w:rStyle w:val="s1"/>
        </w:rPr>
        <w:t>Международный стандарт финансовой отчетности (IAS) 7</w:t>
      </w:r>
      <w:r>
        <w:rPr>
          <w:b/>
          <w:bCs/>
        </w:rPr>
        <w:br/>
      </w:r>
      <w:r>
        <w:rPr>
          <w:rStyle w:val="s1"/>
        </w:rPr>
        <w:t>«Отчет о движении денежных средств»</w:t>
      </w:r>
      <w:bookmarkStart w:id="1" w:name="_ftnref1"/>
      <w:bookmarkEnd w:id="1"/>
      <w:r>
        <w:fldChar w:fldCharType="begin"/>
      </w:r>
      <w:r>
        <w:instrText xml:space="preserve"> </w:instrText>
      </w:r>
      <w:r>
        <w:instrText>HYPERLINK "" \l "_ftn1" \o ""</w:instrText>
      </w:r>
      <w:r>
        <w:instrText xml:space="preserve"> </w:instrText>
      </w:r>
      <w:r>
        <w:fldChar w:fldCharType="separate"/>
      </w:r>
      <w:r>
        <w:rPr>
          <w:rStyle w:val="a3"/>
          <w:vertAlign w:val="superscript"/>
        </w:rPr>
        <w:t>[1]</w:t>
      </w:r>
      <w:r>
        <w:fldChar w:fldCharType="end"/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Цель</w:t>
      </w:r>
    </w:p>
    <w:p w:rsidR="00000000" w:rsidRDefault="00F74C14">
      <w:pPr>
        <w:pStyle w:val="IASBNormal"/>
      </w:pPr>
      <w:r>
        <w:rPr>
          <w:sz w:val="24"/>
          <w:szCs w:val="24"/>
        </w:rPr>
        <w:t>Информация о денежных потоках организации полезна с точки зрения предоставления пользователям финансовой отчетности основы для оценки способности организации генерировать денежные средства и эквиваленты денежных средств, а также потребности организации в и</w:t>
      </w:r>
      <w:r>
        <w:rPr>
          <w:sz w:val="24"/>
          <w:szCs w:val="24"/>
        </w:rPr>
        <w:t>спользовании этих денежных потоков. Экономические решения, принимаемые пользователями, требуют оценки способности организации генерировать денежные средства и их эквиваленты, а также сроков и определенности их получения.</w:t>
      </w:r>
    </w:p>
    <w:p w:rsidR="00000000" w:rsidRDefault="00F74C14">
      <w:pPr>
        <w:pStyle w:val="IASBNormal"/>
      </w:pPr>
      <w:r>
        <w:rPr>
          <w:sz w:val="24"/>
          <w:szCs w:val="24"/>
        </w:rPr>
        <w:t>Цель настоящего стандарта заключает</w:t>
      </w:r>
      <w:r>
        <w:rPr>
          <w:sz w:val="24"/>
          <w:szCs w:val="24"/>
        </w:rPr>
        <w:t>ся в требовании предоставления информации об исторических изменениях в денежных средствах и их эквивалентах организации в форме отчета о движении денежных средств, в котором денежные потоки за период классифицируются как потоки от операционной, инвестицион</w:t>
      </w:r>
      <w:r>
        <w:rPr>
          <w:sz w:val="24"/>
          <w:szCs w:val="24"/>
        </w:rPr>
        <w:t>ной и финансовой деятельности.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Сфера применения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>1           Организация должна составлять отчет о движении денежных средств в соответствии с требованиями настоящего стандарта и представлять его в качестве неотъемлемой части своей финансовой отчетности за к</w:t>
      </w:r>
      <w:r>
        <w:rPr>
          <w:sz w:val="24"/>
          <w:szCs w:val="24"/>
        </w:rPr>
        <w:t>аждый период, в отношении которого представляется финансовая отчетность.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2           Настоящий стандарт заменяет </w:t>
      </w:r>
      <w:hyperlink w:anchor="sub0" w:history="1">
        <w:r>
          <w:rPr>
            <w:rStyle w:val="a3"/>
            <w:sz w:val="24"/>
            <w:szCs w:val="24"/>
          </w:rPr>
          <w:t>МСФО (IAS) 7</w:t>
        </w:r>
      </w:hyperlink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«Отчет об изменениях в финансовом положении»</w:t>
      </w:r>
      <w:r>
        <w:rPr>
          <w:sz w:val="24"/>
          <w:szCs w:val="24"/>
        </w:rPr>
        <w:t>, утвержденный в июле 1977 года.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3           Пользователи ф</w:t>
      </w:r>
      <w:r>
        <w:rPr>
          <w:sz w:val="24"/>
          <w:szCs w:val="24"/>
        </w:rPr>
        <w:t>инансовой отчетности организации заинтересованы в том, как организация генерирует и использует денежные средства и их эквиваленты. Это является актуальным независимо от характера деятельности организации и от того, могут ли денежные средства рассматриватьс</w:t>
      </w:r>
      <w:r>
        <w:rPr>
          <w:sz w:val="24"/>
          <w:szCs w:val="24"/>
        </w:rPr>
        <w:t>я как продукт деятельности организации, как, например, в случае финансовых институтов. Организации испытывают потребность в денежных средствах, по сути, по одинаковым причинам, несмотря на различия в их основных приносящих доход видах деятельности. Они нуж</w:t>
      </w:r>
      <w:r>
        <w:rPr>
          <w:sz w:val="24"/>
          <w:szCs w:val="24"/>
        </w:rPr>
        <w:t>даются в денежных средствах для ведения своих операций, осуществления выплат по своим обязанностям, а также для выплаты дохода своим инвесторам. Следовательно, настоящий стандарт требует представления отчета о движении денежных средств всеми организациями.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Преимущества информации о денежных потоках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4           Отчет о движении денежных средств в совокупности с остальными формами финансовой отчетности обеспечивает информацию, которая позволяет пользователям оценить изменения в чистых активах организации, ее </w:t>
      </w:r>
      <w:r>
        <w:rPr>
          <w:sz w:val="24"/>
          <w:szCs w:val="24"/>
        </w:rPr>
        <w:t>финансовой структуре (включая ликвидность и платежеспособность), а также ее способность оказывать влияние на величину и сроки денежных потоков с целью адаптации к меняющимся обстоятельствам и возможностям. Информация о денежных потоках полезна при оценке с</w:t>
      </w:r>
      <w:r>
        <w:rPr>
          <w:sz w:val="24"/>
          <w:szCs w:val="24"/>
        </w:rPr>
        <w:t>пособности организации генерировать денежные средства и их эквиваленты и позволяет пользователям разрабатывать модели оценки и сравнения приведенной стоимости будущих денежных потоков различных организаций. Она также облегчает сопоставимость отчетов о резу</w:t>
      </w:r>
      <w:r>
        <w:rPr>
          <w:sz w:val="24"/>
          <w:szCs w:val="24"/>
        </w:rPr>
        <w:t>льтатах операционной деятельности различных организаций, поскольку устраняет последствия применения различных порядков учета к аналогичным операциям и событиям.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5           Историческая информация о денежных потоках часто используется в качестве индикатора</w:t>
      </w:r>
      <w:r>
        <w:rPr>
          <w:sz w:val="24"/>
          <w:szCs w:val="24"/>
        </w:rPr>
        <w:t xml:space="preserve"> величины, сроков и определенности будущих денежных потоков. Она также полезна при проверке точности предыдущих оценок будущих денежных потоков и при изучении взаимосвязи между прибыльностью и чистым денежным потоком, а также влияния изменения цен.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Определ</w:t>
      </w:r>
      <w:r>
        <w:rPr>
          <w:rFonts w:ascii="Times New Roman" w:hAnsi="Times New Roman" w:cs="Times New Roman"/>
          <w:sz w:val="24"/>
          <w:szCs w:val="24"/>
        </w:rPr>
        <w:t>ения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 xml:space="preserve">6           В настоящем стандарте используются следующие термины в указанных значениях: </w:t>
      </w:r>
    </w:p>
    <w:p w:rsidR="00000000" w:rsidRDefault="00F74C14">
      <w:pPr>
        <w:pStyle w:val="IASBPrinciple"/>
        <w:ind w:left="780"/>
      </w:pPr>
      <w:r>
        <w:rPr>
          <w:i/>
          <w:iCs/>
          <w:sz w:val="24"/>
          <w:szCs w:val="24"/>
        </w:rPr>
        <w:t xml:space="preserve">Денежные средства </w:t>
      </w:r>
      <w:r>
        <w:rPr>
          <w:sz w:val="24"/>
          <w:szCs w:val="24"/>
        </w:rPr>
        <w:t>включают денежные средства в кассе и депозиты до востребования.</w:t>
      </w:r>
    </w:p>
    <w:p w:rsidR="00000000" w:rsidRDefault="00F74C14">
      <w:pPr>
        <w:pStyle w:val="IASBPrinciple"/>
        <w:ind w:left="780"/>
      </w:pPr>
      <w:r>
        <w:rPr>
          <w:i/>
          <w:iCs/>
          <w:sz w:val="24"/>
          <w:szCs w:val="24"/>
        </w:rPr>
        <w:t xml:space="preserve">Эквиваленты денежных средств </w:t>
      </w:r>
      <w:r>
        <w:rPr>
          <w:sz w:val="24"/>
          <w:szCs w:val="24"/>
        </w:rPr>
        <w:t>представляют собой краткосрочные высоколиквидные ин</w:t>
      </w:r>
      <w:r>
        <w:rPr>
          <w:sz w:val="24"/>
          <w:szCs w:val="24"/>
        </w:rPr>
        <w:t>вестиции, легко обратимые в известные суммы денежных средств и подверженные незначительному риску изменения стоимости.</w:t>
      </w:r>
    </w:p>
    <w:p w:rsidR="00000000" w:rsidRDefault="00F74C14">
      <w:pPr>
        <w:pStyle w:val="IASBPrinciple"/>
        <w:ind w:left="780"/>
      </w:pPr>
      <w:r>
        <w:rPr>
          <w:i/>
          <w:iCs/>
          <w:sz w:val="24"/>
          <w:szCs w:val="24"/>
        </w:rPr>
        <w:t xml:space="preserve">Денежные потоки </w:t>
      </w:r>
      <w:r>
        <w:rPr>
          <w:sz w:val="24"/>
          <w:szCs w:val="24"/>
        </w:rPr>
        <w:t>представляют собой притоки и оттоки денежных средств и их эквивалентов.</w:t>
      </w:r>
    </w:p>
    <w:p w:rsidR="00000000" w:rsidRDefault="00F74C14">
      <w:pPr>
        <w:pStyle w:val="IASBPrinciple"/>
        <w:ind w:left="780"/>
      </w:pPr>
      <w:r>
        <w:rPr>
          <w:i/>
          <w:iCs/>
          <w:sz w:val="24"/>
          <w:szCs w:val="24"/>
        </w:rPr>
        <w:t xml:space="preserve">Операционная деятельность </w:t>
      </w:r>
      <w:r>
        <w:rPr>
          <w:sz w:val="24"/>
          <w:szCs w:val="24"/>
        </w:rPr>
        <w:t>- основная приносящая д</w:t>
      </w:r>
      <w:r>
        <w:rPr>
          <w:sz w:val="24"/>
          <w:szCs w:val="24"/>
        </w:rPr>
        <w:t>оход деятельность организации и прочая деятельность, отличная от инвестиционной или финансовой деятельности.</w:t>
      </w:r>
    </w:p>
    <w:p w:rsidR="00000000" w:rsidRDefault="00F74C14">
      <w:pPr>
        <w:pStyle w:val="IASBPrinciple"/>
        <w:ind w:left="780"/>
      </w:pPr>
      <w:r>
        <w:rPr>
          <w:i/>
          <w:iCs/>
          <w:sz w:val="24"/>
          <w:szCs w:val="24"/>
        </w:rPr>
        <w:t xml:space="preserve">Инвестиционная деятельность </w:t>
      </w:r>
      <w:r>
        <w:rPr>
          <w:sz w:val="24"/>
          <w:szCs w:val="24"/>
        </w:rPr>
        <w:t>- приобретение и выбытие долгосрочных активов и других инвестиций, не относящихся к эквивалентам денежных средств.</w:t>
      </w:r>
    </w:p>
    <w:p w:rsidR="00000000" w:rsidRDefault="00F74C14">
      <w:pPr>
        <w:pStyle w:val="IASBPrinciple"/>
        <w:ind w:left="780"/>
      </w:pPr>
      <w:r>
        <w:rPr>
          <w:i/>
          <w:iCs/>
          <w:sz w:val="24"/>
          <w:szCs w:val="24"/>
        </w:rPr>
        <w:t>Фина</w:t>
      </w:r>
      <w:r>
        <w:rPr>
          <w:i/>
          <w:iCs/>
          <w:sz w:val="24"/>
          <w:szCs w:val="24"/>
        </w:rPr>
        <w:t xml:space="preserve">нсовая деятельность </w:t>
      </w:r>
      <w:r>
        <w:rPr>
          <w:sz w:val="24"/>
          <w:szCs w:val="24"/>
        </w:rPr>
        <w:t>- деятельность, которая приводит к изменениям в размере и составе внесенного капитала и заемных средств организации.</w:t>
      </w:r>
    </w:p>
    <w:p w:rsidR="00000000" w:rsidRDefault="00F74C14">
      <w:pPr>
        <w:pStyle w:val="DaveIASBSubsectionTitle"/>
      </w:pPr>
      <w:r>
        <w:rPr>
          <w:rFonts w:ascii="Times New Roman" w:hAnsi="Times New Roman" w:cs="Times New Roman"/>
          <w:sz w:val="24"/>
          <w:szCs w:val="24"/>
        </w:rPr>
        <w:t>Денежные средства и их эквиваленты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7           Эквиваленты денежных средств предназначены для урегулирования краткосроч</w:t>
      </w:r>
      <w:r>
        <w:rPr>
          <w:sz w:val="24"/>
          <w:szCs w:val="24"/>
        </w:rPr>
        <w:t>ных денежных обязательств, а не для инвестирования или иных целей. Для того чтобы классифицировать инвестицию как эквивалент денежных средств, она должна быть легко обратима в известную сумму денежных средств и подвержена незначительному риску изменения ст</w:t>
      </w:r>
      <w:r>
        <w:rPr>
          <w:sz w:val="24"/>
          <w:szCs w:val="24"/>
        </w:rPr>
        <w:t>оимости. Таким образом, инвестиция обычно квалифицируется как эквивалент денежных средств только тогда, когда она имеет короткий срок погашения, например три месяца или менее с даты приобретения. Инвестиции в долевой капитал исключаются из состава эквивале</w:t>
      </w:r>
      <w:r>
        <w:rPr>
          <w:sz w:val="24"/>
          <w:szCs w:val="24"/>
        </w:rPr>
        <w:t>нтов денежных средств, если только они по существу не являются эквивалентами денежных средств, как, например, привилегированные акции, приобретенные незадолго до срока их погашения и имеющие установленную дату выкупа.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8           Банковские кредиты обычно </w:t>
      </w:r>
      <w:r>
        <w:rPr>
          <w:sz w:val="24"/>
          <w:szCs w:val="24"/>
        </w:rPr>
        <w:t>рассматриваются как финансовая деятельность. Однако в некоторых странах банковские овердрафты, подлежащие выплате по требованию, составляют неотъемлемую часть управления денежными средствами организации. В этом случае банковские овердрафты включаются в сос</w:t>
      </w:r>
      <w:r>
        <w:rPr>
          <w:sz w:val="24"/>
          <w:szCs w:val="24"/>
        </w:rPr>
        <w:t>тав денежных средств и их эквивалентов. Характерной чертой таких соглашений с банками является то, что остаток по банковскому счету часто изменяется от положительного к отрицательному.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9           Денежные потоки не включают обороты между статьями денежных</w:t>
      </w:r>
      <w:r>
        <w:rPr>
          <w:sz w:val="24"/>
          <w:szCs w:val="24"/>
        </w:rPr>
        <w:t xml:space="preserve"> средств или их эквивалентов, потому что эти компоненты являются частью управления денежными средствами организации, а не частью ее операционной, инвестиционной и финансовой деятельности. Управление денежными средствами включает инвестирование излишка дене</w:t>
      </w:r>
      <w:r>
        <w:rPr>
          <w:sz w:val="24"/>
          <w:szCs w:val="24"/>
        </w:rPr>
        <w:t>жных средств в эквиваленты денежных средств.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Представление отчета о движении денежных средств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>10         В отчете о движении денежных средств денежные потоки за период должны быть классифицированы как потоки от операционной, инвестиционной и финансовой дея</w:t>
      </w:r>
      <w:r>
        <w:rPr>
          <w:sz w:val="24"/>
          <w:szCs w:val="24"/>
        </w:rPr>
        <w:t>тельности.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11         Организация представляет денежные потоки от операционной, инвестиционной и финансовой деятельности наиболее подходящим для ее бизнеса способом. Классификация по видам деятельности обеспечивает информацию, которая позволяет пользовател</w:t>
      </w:r>
      <w:r>
        <w:rPr>
          <w:sz w:val="24"/>
          <w:szCs w:val="24"/>
        </w:rPr>
        <w:t>ям оценить воздействие указанных видов деятельности на финансовое положение организации и величину ее денежных средств и их эквивалентов. Эта информация также может использоваться для оценки взаимосвязи между этими видами деятельности.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12         </w:t>
      </w:r>
      <w:r>
        <w:rPr>
          <w:sz w:val="24"/>
          <w:szCs w:val="24"/>
        </w:rPr>
        <w:t>Одна и та же операция может включать денежные потоки, классифицируемые по-разному. Например, когда выплата денежных средств по займу включает в себя как проценты, так и основную сумму долга, то процентная составляющая может быть классифицирована как операц</w:t>
      </w:r>
      <w:r>
        <w:rPr>
          <w:sz w:val="24"/>
          <w:szCs w:val="24"/>
        </w:rPr>
        <w:t>ионная деятельность, а часть, относящаяся к основной сумме долга, классифицируется как финансовая деятельность.</w:t>
      </w:r>
    </w:p>
    <w:p w:rsidR="00000000" w:rsidRDefault="00F74C14">
      <w:pPr>
        <w:pStyle w:val="DaveIASBSubsectionTitle"/>
      </w:pPr>
      <w:r>
        <w:rPr>
          <w:rFonts w:ascii="Times New Roman" w:hAnsi="Times New Roman" w:cs="Times New Roman"/>
          <w:sz w:val="24"/>
          <w:szCs w:val="24"/>
        </w:rPr>
        <w:t>Операционная деятельность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13         </w:t>
      </w:r>
      <w:r>
        <w:rPr>
          <w:sz w:val="24"/>
          <w:szCs w:val="24"/>
        </w:rPr>
        <w:t xml:space="preserve">Сумма денежных потоков от операционной деятельности является ключевым показателем того, в какой мере операции организации генерируют денежные потоки, достаточные для погашения займов, поддержания операционных возможностей организации, выплаты дивидендов и </w:t>
      </w:r>
      <w:r>
        <w:rPr>
          <w:sz w:val="24"/>
          <w:szCs w:val="24"/>
        </w:rPr>
        <w:t xml:space="preserve">осуществления новых инвестиций без привлечения внешних источников финансирования. Информация о конкретных составляющих исторических денежных потоков от операционной деятельности в сочетании с прочей информацией полезна для прогнозирования будущих денежных </w:t>
      </w:r>
      <w:r>
        <w:rPr>
          <w:sz w:val="24"/>
          <w:szCs w:val="24"/>
        </w:rPr>
        <w:t>потоков от операционной деятельности.</w:t>
      </w:r>
    </w:p>
    <w:p w:rsidR="00000000" w:rsidRDefault="00F74C14">
      <w:pPr>
        <w:pStyle w:val="IASBNormal"/>
        <w:ind w:left="780" w:hanging="780"/>
      </w:pPr>
      <w:bookmarkStart w:id="2" w:name="SUB1400"/>
      <w:bookmarkEnd w:id="2"/>
      <w:r>
        <w:rPr>
          <w:sz w:val="24"/>
          <w:szCs w:val="24"/>
        </w:rPr>
        <w:t>14         Денежные потоки от операционной деятельности преимущественно связаны с основной приносящей доход деятельностью организации. Поэтому они, как правило, являются результатом операций и других событий, учитываем</w:t>
      </w:r>
      <w:r>
        <w:rPr>
          <w:sz w:val="24"/>
          <w:szCs w:val="24"/>
        </w:rPr>
        <w:t xml:space="preserve">ых при определении прибыли или убытка. Примерами денежных потоков от операционной деятельности являются: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(a)         денежные поступления от продажи товаров и оказания услуг;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денежные поступления в виде роялти, гонораров, комиссионных и прочая</w:t>
      </w:r>
      <w:r>
        <w:rPr>
          <w:sz w:val="24"/>
          <w:szCs w:val="24"/>
        </w:rPr>
        <w:t xml:space="preserve"> выручка;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(c)         денежные выплаты поставщикам за товары и услуги;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(d)        денежные выплаты работникам и от имени работников;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(e)         денежные поступления и выплаты страховой организации по страховым премиям, требованиям, аннуитетам и прочим стр</w:t>
      </w:r>
      <w:r>
        <w:rPr>
          <w:sz w:val="24"/>
          <w:szCs w:val="24"/>
        </w:rPr>
        <w:t>аховым вознаграждениям;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(f)         денежные выплаты или возвраты по налогу на прибыль, если они не могут быть конкретно соотнесены с финансовой или инвестиционной деятельностью; и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(g)         денежные поступления и выплаты по договорам, удерживаемым для ц</w:t>
      </w:r>
      <w:r>
        <w:rPr>
          <w:sz w:val="24"/>
          <w:szCs w:val="24"/>
        </w:rPr>
        <w:t>елей дилинга или торговли.</w:t>
      </w:r>
    </w:p>
    <w:p w:rsidR="00000000" w:rsidRDefault="00F74C14">
      <w:pPr>
        <w:pStyle w:val="IASBNormal"/>
        <w:ind w:left="780"/>
      </w:pPr>
      <w:r>
        <w:rPr>
          <w:sz w:val="24"/>
          <w:szCs w:val="24"/>
        </w:rPr>
        <w:t>Некоторые операции, такие как продажа оборудования, могут привести к возникновению прибыли или убытка, которые признаются в составе прибыли или убытка. Денежные потоки, связанные с такими операциями, являются денежными потоками о</w:t>
      </w:r>
      <w:r>
        <w:rPr>
          <w:sz w:val="24"/>
          <w:szCs w:val="24"/>
        </w:rPr>
        <w:t xml:space="preserve">т инвестиционной деятельности. Однако денежные выплаты, осуществляемые для производства или приобретения активов, удерживаемых для сдачи в аренду другим сторонам и впоследствии удерживаемых для продажи в соответствии с пунктом 68A МСФО (IAS) 16 </w:t>
      </w:r>
      <w:r>
        <w:rPr>
          <w:i/>
          <w:iCs/>
          <w:sz w:val="24"/>
          <w:szCs w:val="24"/>
        </w:rPr>
        <w:t>«Основные с</w:t>
      </w:r>
      <w:r>
        <w:rPr>
          <w:i/>
          <w:iCs/>
          <w:sz w:val="24"/>
          <w:szCs w:val="24"/>
        </w:rPr>
        <w:t>редства»,</w:t>
      </w:r>
      <w:r>
        <w:rPr>
          <w:sz w:val="24"/>
          <w:szCs w:val="24"/>
        </w:rPr>
        <w:t xml:space="preserve"> являются денежными потоками от операционной деятельности. Денежные поступления от аренды и последующей продажи таких активов также являются денежными потоками от операционной деятельности.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15         Организация может удерживать ценные бумаги и з</w:t>
      </w:r>
      <w:r>
        <w:rPr>
          <w:sz w:val="24"/>
          <w:szCs w:val="24"/>
        </w:rPr>
        <w:t>аймы для целей дилинга или торговли, и в этом случае они сходны с запасами, приобретенными специально для перепродажи. Таким образом, денежные потоки, возникающие от покупки или продажи ценных бумаг, предназначенных для целей дилинга или торговли, классифи</w:t>
      </w:r>
      <w:r>
        <w:rPr>
          <w:sz w:val="24"/>
          <w:szCs w:val="24"/>
        </w:rPr>
        <w:t>цируются как операционная деятельность. Аналогично денежные авансы и займы, предоставленные финансовыми институтами, обычно классифицируются как операционная деятельность, поскольку они относятся к основной приносящей доход деятельности этой организации.</w:t>
      </w:r>
    </w:p>
    <w:p w:rsidR="00000000" w:rsidRDefault="00F74C14">
      <w:pPr>
        <w:pStyle w:val="DaveIASBSubsectionTitle"/>
      </w:pP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нвестиционная деятельность</w:t>
      </w:r>
    </w:p>
    <w:p w:rsidR="00000000" w:rsidRDefault="00F74C14">
      <w:pPr>
        <w:pStyle w:val="IASBNormal"/>
        <w:ind w:left="780" w:hanging="780"/>
      </w:pPr>
      <w:bookmarkStart w:id="3" w:name="SUB1600"/>
      <w:bookmarkEnd w:id="3"/>
      <w:r>
        <w:rPr>
          <w:sz w:val="24"/>
          <w:szCs w:val="24"/>
        </w:rPr>
        <w:t>16         Отдельное раскрытие информации о денежных потоках от инвестиционной деятельности имеет важное значение, поскольку денежные потоки показывают, в каком объеме были понесены затраты на приобретение ресурсов с целью получе</w:t>
      </w:r>
      <w:r>
        <w:rPr>
          <w:sz w:val="24"/>
          <w:szCs w:val="24"/>
        </w:rPr>
        <w:t>ния будущих доходов и денежных потоков. Только те затраты, которые влекут за собой признание актива в отчете о финансовом положении, могут классифицироваться как инвестиционная деятельность. Примерами денежных потоков от инвестиционной деятельности являютс</w:t>
      </w:r>
      <w:r>
        <w:rPr>
          <w:sz w:val="24"/>
          <w:szCs w:val="24"/>
        </w:rPr>
        <w:t xml:space="preserve">я: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(a)         денежные выплаты для приобретения основных средств, нематериальных активов и других долгосрочных активов. К ним относятся выплаты, связанные с капитализированными затратами на разработки и самостоятельно произведенными основными средствами;</w:t>
      </w:r>
      <w:r>
        <w:rPr>
          <w:sz w:val="24"/>
          <w:szCs w:val="24"/>
        </w:rPr>
        <w:t xml:space="preserve">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денежные поступления от продажи основных средств, нематериальных активов и других долгосрочных активов;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(c)         денежные выплаты для приобретения долевых или долговых инструментов других организаций и долей участия в совместных предприяти</w:t>
      </w:r>
      <w:r>
        <w:rPr>
          <w:sz w:val="24"/>
          <w:szCs w:val="24"/>
        </w:rPr>
        <w:t>ях (кроме выплат по инструментам, рассматриваемым как эквиваленты денежных средств или предназначенным для целей дилинга или торговли);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(d)        денежные поступления от продажи долевых или долговых инструментов других организаций и долей участия в совмес</w:t>
      </w:r>
      <w:r>
        <w:rPr>
          <w:sz w:val="24"/>
          <w:szCs w:val="24"/>
        </w:rPr>
        <w:t>тных предприятиях (кроме поступлений по инструментам, рассматриваемым как эквиваленты денежных средств или предназначенным для целей дилинга или торговли);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(e)         денежные авансы и займы, предоставленные другим сторонам (кроме авансов и займов, предос</w:t>
      </w:r>
      <w:r>
        <w:rPr>
          <w:sz w:val="24"/>
          <w:szCs w:val="24"/>
        </w:rPr>
        <w:t xml:space="preserve">тавленных финансовыми институтами);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(f)         денежные поступления от возврата авансов и займов, предоставленных другим сторонам (кроме авансов и займов финансовых институтов);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 xml:space="preserve">(g)         денежные выплаты по фьючерсным договорам, форвардным договорам, </w:t>
      </w:r>
      <w:r>
        <w:rPr>
          <w:sz w:val="24"/>
          <w:szCs w:val="24"/>
        </w:rPr>
        <w:t>опционным договорам и своп-договорам, за исключением случаев, когда договоры удерживаются для целей дилинга или торговли или выплаты классифицируются как финансовая деятельность; и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(h)         денежные поступления по фьючерсным договорам, форвардным догово</w:t>
      </w:r>
      <w:r>
        <w:rPr>
          <w:sz w:val="24"/>
          <w:szCs w:val="24"/>
        </w:rPr>
        <w:t>рам, опционным договорам и своп-договорам, за исключением случаев, когда договоры удерживаются для целей дилинга или торговли или поступления классифицируются как финансовая деятельность.</w:t>
      </w:r>
    </w:p>
    <w:p w:rsidR="00000000" w:rsidRDefault="00F74C14">
      <w:pPr>
        <w:pStyle w:val="IASBNormal"/>
        <w:ind w:left="780"/>
      </w:pPr>
      <w:r>
        <w:rPr>
          <w:sz w:val="24"/>
          <w:szCs w:val="24"/>
        </w:rPr>
        <w:t>Когда договор отражается в учете как хеджирование идентифицируемой п</w:t>
      </w:r>
      <w:r>
        <w:rPr>
          <w:sz w:val="24"/>
          <w:szCs w:val="24"/>
        </w:rPr>
        <w:t>озиции, денежные потоки по такому договору классифицируются так же, как и денежные потоки хеджируемой позиции.</w:t>
      </w:r>
    </w:p>
    <w:p w:rsidR="00000000" w:rsidRDefault="00F74C14">
      <w:pPr>
        <w:pStyle w:val="DaveIASBSubsectionTitle"/>
      </w:pPr>
      <w:r>
        <w:rPr>
          <w:rFonts w:ascii="Times New Roman" w:hAnsi="Times New Roman" w:cs="Times New Roman"/>
          <w:sz w:val="24"/>
          <w:szCs w:val="24"/>
        </w:rPr>
        <w:t>Финансовая деятельность</w:t>
      </w:r>
    </w:p>
    <w:p w:rsidR="00000000" w:rsidRDefault="00F74C14">
      <w:pPr>
        <w:pStyle w:val="IASBNormal"/>
        <w:ind w:left="780" w:hanging="780"/>
      </w:pPr>
      <w:bookmarkStart w:id="4" w:name="SUB1700"/>
      <w:bookmarkEnd w:id="4"/>
      <w:r>
        <w:rPr>
          <w:sz w:val="24"/>
          <w:szCs w:val="24"/>
        </w:rPr>
        <w:t xml:space="preserve">17         Отдельное раскрытие информации о денежных потоках от финансовой деятельности имеет важное значение, поскольку </w:t>
      </w:r>
      <w:r>
        <w:rPr>
          <w:sz w:val="24"/>
          <w:szCs w:val="24"/>
        </w:rPr>
        <w:t xml:space="preserve">данная информация полезна при прогнозировании требований в отношении будущих денежных потоков от сторон, предоставляющих капитал организации. Примерами денежных потоков от финансовой деятельности являются: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 xml:space="preserve">(a)         </w:t>
      </w:r>
      <w:r>
        <w:rPr>
          <w:sz w:val="24"/>
          <w:szCs w:val="24"/>
        </w:rPr>
        <w:t>денежные поступления от выпуска акций или других долевых инструментов;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денежные выплаты собственникам для приобретения или погашения акций организации;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(c)         денежные поступления от выпуска долговых обязательств, займов, векселей, облигац</w:t>
      </w:r>
      <w:r>
        <w:rPr>
          <w:sz w:val="24"/>
          <w:szCs w:val="24"/>
        </w:rPr>
        <w:t>ий, закладных и других краткосрочных или долгосрочных заимствований;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(d)        денежные выплаты по заемным средствам; и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(e)         денежные выплаты, осуществленные арендатором в счет уменьшения непогашенной суммы обязательств по финансовой аренде.</w:t>
      </w:r>
    </w:p>
    <w:p w:rsidR="00000000" w:rsidRDefault="00F74C14">
      <w:pPr>
        <w:jc w:val="both"/>
      </w:pPr>
      <w:r>
        <w:rPr>
          <w:rStyle w:val="s3"/>
        </w:rPr>
        <w:t>См. по</w:t>
      </w:r>
      <w:r>
        <w:rPr>
          <w:rStyle w:val="s3"/>
        </w:rPr>
        <w:t xml:space="preserve">правки - </w:t>
      </w:r>
      <w:hyperlink r:id="rId7" w:anchor="sub_id=97" w:history="1">
        <w:r>
          <w:rPr>
            <w:rStyle w:val="a3"/>
            <w:i/>
            <w:iCs/>
          </w:rPr>
          <w:t>МСФО (IFRS) 16</w:t>
        </w:r>
      </w:hyperlink>
      <w:r>
        <w:rPr>
          <w:rStyle w:val="s3"/>
        </w:rPr>
        <w:t xml:space="preserve"> «Аренда»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Представление денежных потоков от операционной деятельности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>18         Организация должна представлять денежные потоки от операционной деятельн</w:t>
      </w:r>
      <w:r>
        <w:rPr>
          <w:sz w:val="24"/>
          <w:szCs w:val="24"/>
        </w:rPr>
        <w:t xml:space="preserve">ости, используя: 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 xml:space="preserve">(a)         либо прямой метод, в соответствии с которым раскрывается информация об основных видах валовых денежных поступлений и выплат; 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(b)        либо косвенный метод, в соответствии с которым прибыль или убыток корректируются с учетом</w:t>
      </w:r>
      <w:r>
        <w:rPr>
          <w:sz w:val="24"/>
          <w:szCs w:val="24"/>
        </w:rPr>
        <w:t xml:space="preserve"> влияний операций неденежного характера, любых отложенных или начисленных прошлых или будущих денежных поступлений или выплат от операционной деятельности, а также статей доходов или расходов, связанных с денежными потоками от инвестиционной или финансовой</w:t>
      </w:r>
      <w:r>
        <w:rPr>
          <w:sz w:val="24"/>
          <w:szCs w:val="24"/>
        </w:rPr>
        <w:t xml:space="preserve"> деятельности.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19         Поощряется использование организациями прямого метода представления денежных потоков от операционной деятельности. Прямой метод предоставляет информацию, которая может быть полезной для оценки будущих денежных потоков и которая не</w:t>
      </w:r>
      <w:r>
        <w:rPr>
          <w:sz w:val="24"/>
          <w:szCs w:val="24"/>
        </w:rPr>
        <w:t xml:space="preserve">доступна в случае использования косвенного метода. При использовании прямого метода информация об основных видах валовых денежных поступлений и валовых денежных выплат может быть получена: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 xml:space="preserve">(a)         либо из учетных записей организации;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либо</w:t>
      </w:r>
      <w:r>
        <w:rPr>
          <w:sz w:val="24"/>
          <w:szCs w:val="24"/>
        </w:rPr>
        <w:t xml:space="preserve"> путем корректировки продаж, себестоимости продаж (процентных и аналогичных доходов, а также процентных и аналогичных расходов для финансовых институтов) и других статей отчета о совокупном доходе на:</w:t>
      </w:r>
    </w:p>
    <w:p w:rsidR="00000000" w:rsidRDefault="00F74C14">
      <w:pPr>
        <w:pStyle w:val="IASBNormal"/>
        <w:ind w:left="2340" w:hanging="780"/>
      </w:pPr>
      <w:r>
        <w:rPr>
          <w:sz w:val="24"/>
          <w:szCs w:val="24"/>
        </w:rPr>
        <w:t>(i)          изменения в запасах и дебиторской и кредит</w:t>
      </w:r>
      <w:r>
        <w:rPr>
          <w:sz w:val="24"/>
          <w:szCs w:val="24"/>
        </w:rPr>
        <w:t>орской задолженности от операционной деятельности в течение периода;</w:t>
      </w:r>
    </w:p>
    <w:p w:rsidR="00000000" w:rsidRDefault="00F74C14">
      <w:pPr>
        <w:pStyle w:val="IASBNormal"/>
        <w:ind w:left="2340" w:hanging="780"/>
      </w:pPr>
      <w:r>
        <w:rPr>
          <w:sz w:val="24"/>
          <w:szCs w:val="24"/>
        </w:rPr>
        <w:t>(ii)         прочие неденежные статьи; и</w:t>
      </w:r>
    </w:p>
    <w:p w:rsidR="00000000" w:rsidRDefault="00F74C14">
      <w:pPr>
        <w:pStyle w:val="IASBNormal"/>
        <w:ind w:left="2340" w:hanging="780"/>
      </w:pPr>
      <w:r>
        <w:rPr>
          <w:sz w:val="24"/>
          <w:szCs w:val="24"/>
        </w:rPr>
        <w:t>(iii)        прочие статьи, влияющие на денежные потоки от инвестиционной или финансовой деятельности.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20         </w:t>
      </w:r>
      <w:r>
        <w:rPr>
          <w:sz w:val="24"/>
          <w:szCs w:val="24"/>
        </w:rPr>
        <w:t xml:space="preserve">При использовании косвенного метода чистый денежный поток от операционной деятельности определяется путем корректировки прибыли или убытка с учетом влияний: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(a)         изменений в запасах и дебиторской и кредиторской задолженности от операционной деятель</w:t>
      </w:r>
      <w:r>
        <w:rPr>
          <w:sz w:val="24"/>
          <w:szCs w:val="24"/>
        </w:rPr>
        <w:t>ности в течение периода;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неденежных статей, таких как амортизация, оценочные обязательства, отложенные налоги, нереализованные положительные и отрицательные курсовые разницы, нераспределенная прибыль ассоциированных организаций; и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(c)         в</w:t>
      </w:r>
      <w:r>
        <w:rPr>
          <w:sz w:val="24"/>
          <w:szCs w:val="24"/>
        </w:rPr>
        <w:t>сех прочих статей, влияющих на денежные потоки от инвестиционной или финансовой деятельности.</w:t>
      </w:r>
    </w:p>
    <w:p w:rsidR="00000000" w:rsidRDefault="00F74C14">
      <w:pPr>
        <w:pStyle w:val="IASBNormal"/>
        <w:ind w:left="780"/>
      </w:pPr>
      <w:r>
        <w:rPr>
          <w:sz w:val="24"/>
          <w:szCs w:val="24"/>
        </w:rPr>
        <w:t>В качестве альтернативы чистый денежный поток от операционной деятельности может быть представлен косвенным методом путем отражения выручки и расходов, раскрываем</w:t>
      </w:r>
      <w:r>
        <w:rPr>
          <w:sz w:val="24"/>
          <w:szCs w:val="24"/>
        </w:rPr>
        <w:t>ых в отчете о совокупном доходе, и изменений в запасах и дебиторской и кредиторской задолженности от операционной деятельности в течение периода.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Представление денежных потоков от инвестиционной и финансовой деятельности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 xml:space="preserve">21         </w:t>
      </w:r>
      <w:r>
        <w:rPr>
          <w:sz w:val="24"/>
          <w:szCs w:val="24"/>
        </w:rPr>
        <w:t xml:space="preserve">Организация должна представлять основные классы валовых денежных поступлений и валовых денежных выплат, возникающих от инвестиционной и финансовой деятельности, по отдельности, за исключением денежных потоков, описанных в </w:t>
      </w:r>
      <w:hyperlink w:anchor="sub2200" w:history="1">
        <w:r>
          <w:rPr>
            <w:rStyle w:val="a3"/>
            <w:sz w:val="24"/>
            <w:szCs w:val="24"/>
          </w:rPr>
          <w:t>пунк</w:t>
        </w:r>
        <w:r>
          <w:rPr>
            <w:rStyle w:val="a3"/>
            <w:sz w:val="24"/>
            <w:szCs w:val="24"/>
          </w:rPr>
          <w:t>тах 22</w:t>
        </w:r>
      </w:hyperlink>
      <w:r>
        <w:rPr>
          <w:sz w:val="24"/>
          <w:szCs w:val="24"/>
        </w:rPr>
        <w:t xml:space="preserve"> и </w:t>
      </w:r>
      <w:hyperlink w:anchor="sub2400" w:history="1">
        <w:r>
          <w:rPr>
            <w:rStyle w:val="a3"/>
            <w:sz w:val="24"/>
            <w:szCs w:val="24"/>
          </w:rPr>
          <w:t>24</w:t>
        </w:r>
      </w:hyperlink>
      <w:r>
        <w:rPr>
          <w:sz w:val="24"/>
          <w:szCs w:val="24"/>
        </w:rPr>
        <w:t>, которые представляются на нетто-основе.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Представление денежных потоков на нетто-основе</w:t>
      </w:r>
    </w:p>
    <w:p w:rsidR="00000000" w:rsidRDefault="00F74C14">
      <w:pPr>
        <w:pStyle w:val="IASBPrinciple"/>
        <w:ind w:left="780" w:hanging="780"/>
      </w:pPr>
      <w:bookmarkStart w:id="5" w:name="SUB2200"/>
      <w:bookmarkEnd w:id="5"/>
      <w:r>
        <w:rPr>
          <w:sz w:val="24"/>
          <w:szCs w:val="24"/>
        </w:rPr>
        <w:t>22         Денежные потоки, возникающие от следующих видов операционной, инвестиционной или финансовой деятельности, могут быт</w:t>
      </w:r>
      <w:r>
        <w:rPr>
          <w:sz w:val="24"/>
          <w:szCs w:val="24"/>
        </w:rPr>
        <w:t xml:space="preserve">ь представлены на нетто-основе: 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(a)         денежные поступления и выплаты от имени клиентов, когда денежные потоки отражают деятельность, осуществляемую клиентом, а не организацией; и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(b)        денежные поступления и выплаты по статьям, характеризующимс</w:t>
      </w:r>
      <w:r>
        <w:rPr>
          <w:sz w:val="24"/>
          <w:szCs w:val="24"/>
        </w:rPr>
        <w:t>я быстрым оборотом, большими суммами и короткими сроками погашения.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23         Примерами денежных поступлений и выплат, перечисленных в </w:t>
      </w:r>
      <w:hyperlink w:anchor="sub2200" w:history="1">
        <w:r>
          <w:rPr>
            <w:rStyle w:val="a3"/>
            <w:sz w:val="24"/>
            <w:szCs w:val="24"/>
          </w:rPr>
          <w:t>пункте 22(a),</w:t>
        </w:r>
      </w:hyperlink>
      <w:r>
        <w:rPr>
          <w:sz w:val="24"/>
          <w:szCs w:val="24"/>
        </w:rPr>
        <w:t xml:space="preserve"> являются: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(a)         получение и выплата банком депозитов до востребования</w:t>
      </w:r>
      <w:r>
        <w:rPr>
          <w:sz w:val="24"/>
          <w:szCs w:val="24"/>
        </w:rPr>
        <w:t>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средства, удерживаемые для клиентов инвестиционной организацией; и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(c)         полученная от имени собственников недвижимости и передаваемая им арендная плата.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23A      Примерами денежных поступлений и выплат, перечисленных в пункте 22(b), яв</w:t>
      </w:r>
      <w:r>
        <w:rPr>
          <w:sz w:val="24"/>
          <w:szCs w:val="24"/>
        </w:rPr>
        <w:t>ляются внесенные авансы и выплаты по: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(a)         основным суммам долга держателей кредитных карт;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приобретению и продаже инвестиций; и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(c)         прочим краткосрочным займам, например, со сроком погашения три месяца или менее.</w:t>
      </w:r>
    </w:p>
    <w:p w:rsidR="00000000" w:rsidRDefault="00F74C14">
      <w:pPr>
        <w:pStyle w:val="IASBPrinciple"/>
        <w:ind w:left="780" w:hanging="780"/>
      </w:pPr>
      <w:bookmarkStart w:id="6" w:name="SUB2400"/>
      <w:bookmarkEnd w:id="6"/>
      <w:r>
        <w:rPr>
          <w:sz w:val="24"/>
          <w:szCs w:val="24"/>
        </w:rPr>
        <w:t>24         Дене</w:t>
      </w:r>
      <w:r>
        <w:rPr>
          <w:sz w:val="24"/>
          <w:szCs w:val="24"/>
        </w:rPr>
        <w:t>жные потоки, возникающие в результате каждого из следующих видов деятельности финансового института, могут быть представлены на нетто-основе: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(a)         денежные поступления и выплаты по привлечению и выплате депозитов с фиксированным сроком погашения;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(b</w:t>
      </w:r>
      <w:r>
        <w:rPr>
          <w:sz w:val="24"/>
          <w:szCs w:val="24"/>
        </w:rPr>
        <w:t>)        размещение депозитов в других финансовых институтах и возврат депозитов из других финансовых институтов; и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(c)         денежные авансы и кредиты, предоставленные клиентам, и погашение указанных авансов и кредитов.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Денежные потоки в иностранной вал</w:t>
      </w:r>
      <w:r>
        <w:rPr>
          <w:rFonts w:ascii="Times New Roman" w:hAnsi="Times New Roman" w:cs="Times New Roman"/>
          <w:sz w:val="24"/>
          <w:szCs w:val="24"/>
        </w:rPr>
        <w:t>юте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 xml:space="preserve">25         Денежные потоки, возникающие в результате операций в иностранной валюте, должны отражаться в функциональной валюте организации путем применения к сумме в иностранной валюте обменного курса между функциональной и иностранной валютами на дату </w:t>
      </w:r>
      <w:r>
        <w:rPr>
          <w:sz w:val="24"/>
          <w:szCs w:val="24"/>
        </w:rPr>
        <w:t>соответствующего денежного потока.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>26         Денежные потоки зарубежной дочерней организации должны быть пересчитаны по обменным курсам между функциональной и иностранной валютами на даты соответствующих денежных потоков.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27         Денежные потоки, выраж</w:t>
      </w:r>
      <w:r>
        <w:rPr>
          <w:sz w:val="24"/>
          <w:szCs w:val="24"/>
        </w:rPr>
        <w:t xml:space="preserve">енные в иностранной валюте, представляются в соответствии с </w:t>
      </w:r>
      <w:hyperlink r:id="rId8" w:history="1">
        <w:r>
          <w:rPr>
            <w:rStyle w:val="a3"/>
            <w:sz w:val="24"/>
            <w:szCs w:val="24"/>
          </w:rPr>
          <w:t>МСФО (IAS) 21</w:t>
        </w:r>
      </w:hyperlink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«Влияние изменений валютных курсов»</w:t>
      </w:r>
      <w:r>
        <w:rPr>
          <w:sz w:val="24"/>
          <w:szCs w:val="24"/>
        </w:rPr>
        <w:t>. Это позволяет использовать обменный курс, приближенный к фактическому курсу. Например, средневзвешенный обменный курс за период может быть использован для отражения операций в иностранной валюте или пересчета денежных потоков зарубежной дочерней организа</w:t>
      </w:r>
      <w:r>
        <w:rPr>
          <w:sz w:val="24"/>
          <w:szCs w:val="24"/>
        </w:rPr>
        <w:t>ции. Однако МСФО (IAS) 21 не разрешает применение обменного курса по состоянию на конец отчетного периода при пересчете денежных потоков зарубежной дочерней организации.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28         Нереализованные прибыли и убытки, возникающие в результате изменений обменн</w:t>
      </w:r>
      <w:r>
        <w:rPr>
          <w:sz w:val="24"/>
          <w:szCs w:val="24"/>
        </w:rPr>
        <w:t>ых курсов валют, не являются денежными потоками. Однако влияние изменений обменных курсов на денежные средства и их эквиваленты, имеющиеся или ожидаемые к получению в иностранной валюте, представляется в отчете о движении денежных средств с тем, чтобы свер</w:t>
      </w:r>
      <w:r>
        <w:rPr>
          <w:sz w:val="24"/>
          <w:szCs w:val="24"/>
        </w:rPr>
        <w:t xml:space="preserve">ить денежные средства и их эквиваленты на начало и на конец отчетного периода. Эта сумма представляется отдельно от денежных потоков от операционной, инвестиционной и финансовой деятельности и включает разницы, при их наличии, которые возникли бы в случае </w:t>
      </w:r>
      <w:r>
        <w:rPr>
          <w:sz w:val="24"/>
          <w:szCs w:val="24"/>
        </w:rPr>
        <w:t>представления данных денежных потоков по обменным курсам на конец периода.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 xml:space="preserve">29         </w:t>
      </w:r>
      <w:r>
        <w:rPr>
          <w:b w:val="0"/>
          <w:bCs w:val="0"/>
          <w:sz w:val="24"/>
          <w:szCs w:val="24"/>
        </w:rPr>
        <w:t>[Удален]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30         [Удален]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Проценты и дивиденды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 xml:space="preserve">31         </w:t>
      </w:r>
      <w:r>
        <w:rPr>
          <w:sz w:val="24"/>
          <w:szCs w:val="24"/>
        </w:rPr>
        <w:t>Денежные потоки, возникающие в связи с получением и выплатой процентов и дивидендов, должны быть раскрыты отдельно. Каждое такое поступление или выплата должны быть классифицированы последовательно из периода в период как денежные потоки от операционной, и</w:t>
      </w:r>
      <w:r>
        <w:rPr>
          <w:sz w:val="24"/>
          <w:szCs w:val="24"/>
        </w:rPr>
        <w:t>нвестиционной или финансовой деятельности.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32         Общая сумма процентов, выплаченных в течение периода, раскрывается в отчете о движении денежных средств независимо от того, признана ли она как расход в составе прибыли или убытка или капитализирована в</w:t>
      </w:r>
      <w:r>
        <w:rPr>
          <w:sz w:val="24"/>
          <w:szCs w:val="24"/>
        </w:rPr>
        <w:t xml:space="preserve"> соответствии с </w:t>
      </w:r>
      <w:hyperlink r:id="rId9" w:history="1">
        <w:r>
          <w:rPr>
            <w:rStyle w:val="a3"/>
            <w:sz w:val="24"/>
            <w:szCs w:val="24"/>
          </w:rPr>
          <w:t>МСФО (IAS) 23</w:t>
        </w:r>
      </w:hyperlink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«Затраты по заимствованиям»</w:t>
      </w:r>
      <w:r>
        <w:rPr>
          <w:sz w:val="24"/>
          <w:szCs w:val="24"/>
        </w:rPr>
        <w:t>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33         Для финансовых институтов выплаченные проценты и полученные проценты и дивиденды обычно классифицируются как денежные пот</w:t>
      </w:r>
      <w:r>
        <w:rPr>
          <w:sz w:val="24"/>
          <w:szCs w:val="24"/>
        </w:rPr>
        <w:t>оки от операционной деятельности. Однако в отношении других организаций нет единого мнения в вопросе классификации таких денежных потоков. Выплаченные проценты и полученные проценты и дивиденды могут быть классифицированы как денежные потоки от операционно</w:t>
      </w:r>
      <w:r>
        <w:rPr>
          <w:sz w:val="24"/>
          <w:szCs w:val="24"/>
        </w:rPr>
        <w:t xml:space="preserve">й деятельности, потому что они учитываются при определении прибыли или убытка. Альтернативно выплаченные проценты и полученные проценты и дивиденды могут быть классифицированы как денежные потоки от финансовой и инвестиционной деятельности соответственно, </w:t>
      </w:r>
      <w:r>
        <w:rPr>
          <w:sz w:val="24"/>
          <w:szCs w:val="24"/>
        </w:rPr>
        <w:t>потому что они представляют собой затраты на привлечение финансовых ресурсов или доходы на инвестиции.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34         Выплаченные дивиденды могут быть классифицированы как денежный поток от финансовой деятельности, так как они являются затратами на привлечение</w:t>
      </w:r>
      <w:r>
        <w:rPr>
          <w:sz w:val="24"/>
          <w:szCs w:val="24"/>
        </w:rPr>
        <w:t xml:space="preserve"> финансовых ресурсов. Альтернативно выплаченные дивиденды могут быть классифицированы как компонент денежных потоков от операционной деятельности с тем, чтобы оказать содействие пользователям в определении способности организации выплачивать дивиденды из д</w:t>
      </w:r>
      <w:r>
        <w:rPr>
          <w:sz w:val="24"/>
          <w:szCs w:val="24"/>
        </w:rPr>
        <w:t>енежных потоков от операционной деятельности.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Налоги на прибыль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>35         Денежные потоки, возникающие в связи с налогами на прибыль, должны быть раскрыты отдельно и классифицированы как денежные потоки от операционной деятельности за исключением случаев,</w:t>
      </w:r>
      <w:r>
        <w:rPr>
          <w:sz w:val="24"/>
          <w:szCs w:val="24"/>
        </w:rPr>
        <w:t xml:space="preserve"> когда они могут быть непосредственно соотнесены с финансовой и инвестиционной деятельностью.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36         Налоги на прибыль возникают по операциям, приводящим к денежным потокам, классифицируемым в отчете о движении денежных средств как денежные потоки от о</w:t>
      </w:r>
      <w:r>
        <w:rPr>
          <w:sz w:val="24"/>
          <w:szCs w:val="24"/>
        </w:rPr>
        <w:t xml:space="preserve">перационной, инвестиционной или финансовой деятельности. В то время как налоговые расходы можно легко соотнести с инвестиционной или финансовой деятельностью, соответствующие налоговые денежные потоки часто идентифицировать практически невозможно, и такие </w:t>
      </w:r>
      <w:r>
        <w:rPr>
          <w:sz w:val="24"/>
          <w:szCs w:val="24"/>
        </w:rPr>
        <w:t>потоки могут возникать в периоде, отличном от того, в котором имели место денежные потоки по лежащей в их основе операции. Поэтому уплаченные налоги обычно классифицируются как денежные потоки от операционной деятельности. Однако, когда практически осущест</w:t>
      </w:r>
      <w:r>
        <w:rPr>
          <w:sz w:val="24"/>
          <w:szCs w:val="24"/>
        </w:rPr>
        <w:t>вимо соотнесение денежного потока по налогам с конкретной операцией, приводящей к возникновению денежных потоков, классифицируемых как инвестиционная или финансовая деятельность, такой денежный поток по налогам классифицируется как инвестиционная или финан</w:t>
      </w:r>
      <w:r>
        <w:rPr>
          <w:sz w:val="24"/>
          <w:szCs w:val="24"/>
        </w:rPr>
        <w:t>совая деятельность соответственно. Когда денежные потоки по налогам относятся более чем к одному виду деятельности, раскрывается общая сумма уплаченных налогов.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Инвестиции в дочерние организации, ассоциированные организации и совместные предприятия</w:t>
      </w:r>
    </w:p>
    <w:p w:rsidR="00000000" w:rsidRDefault="00F74C14">
      <w:pPr>
        <w:pStyle w:val="IASBNormal"/>
        <w:ind w:left="780" w:hanging="780"/>
      </w:pPr>
      <w:bookmarkStart w:id="7" w:name="SUB3700"/>
      <w:bookmarkEnd w:id="7"/>
      <w:r>
        <w:rPr>
          <w:sz w:val="24"/>
          <w:szCs w:val="24"/>
        </w:rPr>
        <w:t>37     </w:t>
      </w:r>
      <w:r>
        <w:rPr>
          <w:sz w:val="24"/>
          <w:szCs w:val="24"/>
        </w:rPr>
        <w:t>    При учете инвестиций в ассоциированную организацию, совместное предприятие или дочернюю организацию, учет которых ведется по методу долевого участия или по первоначальной стоимости, в отчете о движении денежных средств инвестор ограничивается информаци</w:t>
      </w:r>
      <w:r>
        <w:rPr>
          <w:sz w:val="24"/>
          <w:szCs w:val="24"/>
        </w:rPr>
        <w:t>ей о денежных потоках между ним и объектом инвестиций, например информацией о дивидендах и авансах.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38         Организация, отражающая свою долю участия в ассоциированной организации или совместном предприятии с использованием метода долевого участия, вклю</w:t>
      </w:r>
      <w:r>
        <w:rPr>
          <w:sz w:val="24"/>
          <w:szCs w:val="24"/>
        </w:rPr>
        <w:t>чает в свой отчет о движении денежных средств денежные потоки в отношении ее инвестиций в ассоциированную организацию или совместное предприятие и распределения прибыли и других выплат или поступлений между данной организацией и ассоциированной организацие</w:t>
      </w:r>
      <w:r>
        <w:rPr>
          <w:sz w:val="24"/>
          <w:szCs w:val="24"/>
        </w:rPr>
        <w:t>й или совместным предприятием.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Изменения в долях владения в дочерних организациях и других бизнесах</w:t>
      </w:r>
    </w:p>
    <w:p w:rsidR="00000000" w:rsidRDefault="00F74C14">
      <w:pPr>
        <w:pStyle w:val="IASBPrinciple"/>
        <w:ind w:left="780" w:hanging="780"/>
      </w:pPr>
      <w:bookmarkStart w:id="8" w:name="SUB3900"/>
      <w:bookmarkEnd w:id="8"/>
      <w:r>
        <w:rPr>
          <w:sz w:val="24"/>
          <w:szCs w:val="24"/>
        </w:rPr>
        <w:t>39         Агрегированные денежные потоки, возникающие в результате приобретения или потери контроля над дочерними организациями или другими бизнесами, долж</w:t>
      </w:r>
      <w:r>
        <w:rPr>
          <w:sz w:val="24"/>
          <w:szCs w:val="24"/>
        </w:rPr>
        <w:t>ны быть представлены отдельно и классифицированы как инвестиционная деятельность.</w:t>
      </w:r>
    </w:p>
    <w:p w:rsidR="00000000" w:rsidRDefault="00F74C14">
      <w:pPr>
        <w:pStyle w:val="IASBPrinciple"/>
        <w:ind w:left="780" w:hanging="780"/>
      </w:pPr>
      <w:bookmarkStart w:id="9" w:name="SUB4000"/>
      <w:bookmarkEnd w:id="9"/>
      <w:r>
        <w:rPr>
          <w:sz w:val="24"/>
          <w:szCs w:val="24"/>
        </w:rPr>
        <w:t>40         Организация должна раскрыть, в совокупности, следующие сведения в отношении приобретения и потери контроля над дочерними организациями или другими бизнесами в тече</w:t>
      </w:r>
      <w:r>
        <w:rPr>
          <w:sz w:val="24"/>
          <w:szCs w:val="24"/>
        </w:rPr>
        <w:t xml:space="preserve">ние периода: 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(a)         суммарное возмещение, выплаченное или полученное;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(b)        долю возмещения, представленную денежными средствами и их эквивалентами;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(c)         сумму денежных средств и их эквивалентов дочерних организаций или других бизнесов, н</w:t>
      </w:r>
      <w:r>
        <w:rPr>
          <w:sz w:val="24"/>
          <w:szCs w:val="24"/>
        </w:rPr>
        <w:t>ад которыми был приобретен или потерян контроль; и</w:t>
      </w:r>
    </w:p>
    <w:p w:rsidR="00000000" w:rsidRDefault="00F74C14">
      <w:pPr>
        <w:pStyle w:val="IASBPrinciple"/>
        <w:ind w:left="1560" w:hanging="780"/>
      </w:pPr>
      <w:r>
        <w:rPr>
          <w:sz w:val="24"/>
          <w:szCs w:val="24"/>
        </w:rPr>
        <w:t>(d)        сумму активов и обязательств, отличных от денежных средств или их эквивалентов, дочерних организаций или других бизнесов, над которыми был приобретен или потерян контроль, суммированные по каждо</w:t>
      </w:r>
      <w:r>
        <w:rPr>
          <w:sz w:val="24"/>
          <w:szCs w:val="24"/>
        </w:rPr>
        <w:t>й основной категории.</w:t>
      </w:r>
    </w:p>
    <w:p w:rsidR="00000000" w:rsidRDefault="00F74C14">
      <w:pPr>
        <w:pStyle w:val="IASBNormalnpara"/>
      </w:pPr>
      <w:bookmarkStart w:id="10" w:name="SUB400100"/>
      <w:bookmarkEnd w:id="10"/>
      <w:r>
        <w:rPr>
          <w:sz w:val="24"/>
          <w:szCs w:val="24"/>
        </w:rPr>
        <w:t xml:space="preserve">40A      Инвестиционная организация, в значении, определенном в </w:t>
      </w:r>
      <w:hyperlink r:id="rId10" w:history="1">
        <w:r>
          <w:rPr>
            <w:rStyle w:val="a3"/>
            <w:sz w:val="24"/>
            <w:szCs w:val="24"/>
          </w:rPr>
          <w:t>МСФО (IFRS) 10</w:t>
        </w:r>
      </w:hyperlink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«Консолидированная финансовая отчетность»</w:t>
      </w:r>
      <w:r>
        <w:rPr>
          <w:sz w:val="24"/>
          <w:szCs w:val="24"/>
        </w:rPr>
        <w:t xml:space="preserve">, не обязана применять </w:t>
      </w:r>
      <w:hyperlink w:anchor="sub4000" w:history="1">
        <w:r>
          <w:rPr>
            <w:rStyle w:val="a3"/>
            <w:sz w:val="24"/>
            <w:szCs w:val="24"/>
          </w:rPr>
          <w:t>пункты 40(с) или 40(d)</w:t>
        </w:r>
      </w:hyperlink>
      <w:r>
        <w:rPr>
          <w:sz w:val="24"/>
          <w:szCs w:val="24"/>
        </w:rPr>
        <w:t xml:space="preserve"> в отношении тех инвестиций в дочерние организации, которые требуется оценивать по справедливой стоимости через прибыль или убыток.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41         Представление отдельными строками эффектов от приобретения или потери контроля над доче</w:t>
      </w:r>
      <w:r>
        <w:rPr>
          <w:sz w:val="24"/>
          <w:szCs w:val="24"/>
        </w:rPr>
        <w:t>рними организациями или другими бизнесами, а также отдельное раскрытие сумм приобретенных или выбывших активов и обязательств, помогает отделить такие денежные потоки от денежных потоков, возникающих в результате прочей операционной, инвестиционной и финан</w:t>
      </w:r>
      <w:r>
        <w:rPr>
          <w:sz w:val="24"/>
          <w:szCs w:val="24"/>
        </w:rPr>
        <w:t>совой деятельности. Денежные потоки от потери контроля не уменьшают денежные потоки от приобретения контроля.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42         Агрегированная сумма денежных средств, выплаченных или полученных в качестве возмещения при приобретении или потере контроля над дочерн</w:t>
      </w:r>
      <w:r>
        <w:rPr>
          <w:sz w:val="24"/>
          <w:szCs w:val="24"/>
        </w:rPr>
        <w:t>ей организацией или другими бизнесами, отражается в отчете о движении денежных средств за вычетом денежных средств и их эквивалентов, приобретенных или выбывших в рамках таких операций, событий или изменений обстоятельств.</w:t>
      </w:r>
    </w:p>
    <w:p w:rsidR="00000000" w:rsidRDefault="00F74C14">
      <w:pPr>
        <w:pStyle w:val="IASBNormal"/>
        <w:ind w:left="780" w:hanging="780"/>
      </w:pPr>
      <w:bookmarkStart w:id="11" w:name="SUB420100"/>
      <w:bookmarkEnd w:id="11"/>
      <w:r>
        <w:rPr>
          <w:sz w:val="24"/>
          <w:szCs w:val="24"/>
        </w:rPr>
        <w:t>42A      Денежные потоки, возника</w:t>
      </w:r>
      <w:r>
        <w:rPr>
          <w:sz w:val="24"/>
          <w:szCs w:val="24"/>
        </w:rPr>
        <w:t>ющие в результате изменений долей владения в дочерней организации, которые не приводят к потере контроля, должны классифицироваться как денежные потоки от финансовой деятельности, кроме случаев, когда инвестиция в данную дочернюю организацию удерживается и</w:t>
      </w:r>
      <w:r>
        <w:rPr>
          <w:sz w:val="24"/>
          <w:szCs w:val="24"/>
        </w:rPr>
        <w:t xml:space="preserve">нвестиционной организацией (как этот термин определен в МСФО (IFRS) 10) и ее требуется оценивать по справедливой стоимости через прибыль или убыток. </w:t>
      </w:r>
    </w:p>
    <w:p w:rsidR="00000000" w:rsidRDefault="00F74C14">
      <w:pPr>
        <w:pStyle w:val="IASBNormal"/>
        <w:ind w:left="780" w:hanging="780"/>
      </w:pPr>
      <w:bookmarkStart w:id="12" w:name="SUB420200"/>
      <w:bookmarkEnd w:id="12"/>
      <w:r>
        <w:rPr>
          <w:sz w:val="24"/>
          <w:szCs w:val="24"/>
        </w:rPr>
        <w:t>42B      Изменения долей владения в дочерней организации, которые не приводят к потере контроля, такие как</w:t>
      </w:r>
      <w:r>
        <w:rPr>
          <w:sz w:val="24"/>
          <w:szCs w:val="24"/>
        </w:rPr>
        <w:t xml:space="preserve"> последующие приобретение или продажа материнской организацией долевых инструментов дочерней организации, учитываются как операции с капиталом (см. МСФО (IFRS) 10), кроме случаев, когда данной дочерней организацией владеет инвестиционная организация и ее т</w:t>
      </w:r>
      <w:r>
        <w:rPr>
          <w:sz w:val="24"/>
          <w:szCs w:val="24"/>
        </w:rPr>
        <w:t xml:space="preserve">ребуется оценивать по справедливой стоимости через прибыль или убыток. Следовательно, денежные потоки в результате таких операций классифицируются так же, как и прочие операции с собственниками, описанные в </w:t>
      </w:r>
      <w:hyperlink w:anchor="sub1700" w:history="1">
        <w:r>
          <w:rPr>
            <w:rStyle w:val="a3"/>
            <w:sz w:val="24"/>
            <w:szCs w:val="24"/>
          </w:rPr>
          <w:t>пункте 17</w:t>
        </w:r>
      </w:hyperlink>
      <w:r>
        <w:rPr>
          <w:sz w:val="24"/>
          <w:szCs w:val="24"/>
        </w:rPr>
        <w:t xml:space="preserve">. 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Неденежные операции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>43         Инвестиционные и финансовые операции, не требующие использования денежных средств или их эквивалентов, должны исключаться из отчета о движении денежных средств. Подобные операции должны быть раскрыты в другой части финансовой</w:t>
      </w:r>
      <w:r>
        <w:rPr>
          <w:sz w:val="24"/>
          <w:szCs w:val="24"/>
        </w:rPr>
        <w:t xml:space="preserve"> отчетности таким образом, чтобы предоставить всю значимую информацию о такой инвестиционной и финансовой деятельности.</w:t>
      </w:r>
    </w:p>
    <w:p w:rsidR="00000000" w:rsidRDefault="00F74C14">
      <w:pPr>
        <w:jc w:val="both"/>
      </w:pPr>
      <w:r>
        <w:rPr>
          <w:rStyle w:val="s3"/>
        </w:rPr>
        <w:t xml:space="preserve">См. поправки - </w:t>
      </w:r>
      <w:hyperlink r:id="rId11" w:anchor="sub_id=97" w:history="1">
        <w:r>
          <w:rPr>
            <w:rStyle w:val="a3"/>
            <w:i/>
            <w:iCs/>
          </w:rPr>
          <w:t>МСФО (IFRS) 16</w:t>
        </w:r>
      </w:hyperlink>
      <w:r>
        <w:rPr>
          <w:rStyle w:val="s3"/>
        </w:rPr>
        <w:t xml:space="preserve"> «Аренда»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44         </w:t>
      </w:r>
      <w:r>
        <w:rPr>
          <w:sz w:val="24"/>
          <w:szCs w:val="24"/>
        </w:rPr>
        <w:t xml:space="preserve">Значительная часть инвестиционной и финансовой деятельности не оказывает непосредственного воздействия на текущие денежные потоки, но при этом влияет на структуру капитала и активов организации. Исключение неденежных операций из отчета о движении денежных </w:t>
      </w:r>
      <w:r>
        <w:rPr>
          <w:sz w:val="24"/>
          <w:szCs w:val="24"/>
        </w:rPr>
        <w:t xml:space="preserve">средств отвечает целям отчета о движении денежных средств, поскольку эти статьи не связаны с денежными потоками в текущем периоде. Примерами неденежных операций являются: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(a)         приобретение активов путем принятия непосредственно связанных с ними обя</w:t>
      </w:r>
      <w:r>
        <w:rPr>
          <w:sz w:val="24"/>
          <w:szCs w:val="24"/>
        </w:rPr>
        <w:t>зательств или посредством финансовой аренды;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приобретение организации путем выпуска долевых инструментов; и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(c)         конвертация долговых обязательств в собственный капитал.</w:t>
      </w:r>
    </w:p>
    <w:p w:rsidR="00000000" w:rsidRDefault="00F74C14">
      <w:pPr>
        <w:jc w:val="both"/>
      </w:pPr>
      <w:hyperlink r:id="rId12" w:history="1">
        <w:r>
          <w:rPr>
            <w:rStyle w:val="a3"/>
            <w:i/>
            <w:iCs/>
          </w:rPr>
          <w:t>До</w:t>
        </w:r>
        <w:r>
          <w:rPr>
            <w:rStyle w:val="a3"/>
            <w:i/>
            <w:iCs/>
          </w:rPr>
          <w:t>кументом</w:t>
        </w:r>
      </w:hyperlink>
      <w:r>
        <w:rPr>
          <w:rStyle w:val="s3"/>
        </w:rPr>
        <w:t xml:space="preserve"> «Инициатива в сфере раскрытия информации» (поправки к МСФО (IAS) 7), выпущенным в январе 2016 года, добавлены пункты 44A-44E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 xml:space="preserve">Компоненты денежных средств и их эквивалентов 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>45         Организация должна раскрывать компоненты денежных средств и их э</w:t>
      </w:r>
      <w:r>
        <w:rPr>
          <w:sz w:val="24"/>
          <w:szCs w:val="24"/>
        </w:rPr>
        <w:t>квивалентов и представлять сверку сумм, содержащихся в отчете о движении денежных средств, с аналогичными статьями, представленными в отчете о финансовом положении.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46         Ввиду разнообразия практики управления денежными средствами и банковских механиз</w:t>
      </w:r>
      <w:r>
        <w:rPr>
          <w:sz w:val="24"/>
          <w:szCs w:val="24"/>
        </w:rPr>
        <w:t xml:space="preserve">мов в разных странах мира и в целях соблюдения </w:t>
      </w:r>
      <w:hyperlink r:id="rId13" w:history="1">
        <w:r>
          <w:rPr>
            <w:rStyle w:val="a3"/>
            <w:sz w:val="24"/>
            <w:szCs w:val="24"/>
          </w:rPr>
          <w:t>МСФО (IAS) 1</w:t>
        </w:r>
      </w:hyperlink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«Представление финансовой отчетности»</w:t>
      </w:r>
      <w:r>
        <w:rPr>
          <w:sz w:val="24"/>
          <w:szCs w:val="24"/>
        </w:rPr>
        <w:t>, организация обязана раскрыть политику, принятую ею для определения состава денежных средств и</w:t>
      </w:r>
      <w:r>
        <w:rPr>
          <w:sz w:val="24"/>
          <w:szCs w:val="24"/>
        </w:rPr>
        <w:t xml:space="preserve"> их эквивалентов.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47         Влияние любого изменения в политике определения компонентов денежных средств и их эквивалентов, например изменения в классификации финансовых инструментов, ранее считавшихся частью инвестиционного портфеля организации, представ</w:t>
      </w:r>
      <w:r>
        <w:rPr>
          <w:sz w:val="24"/>
          <w:szCs w:val="24"/>
        </w:rPr>
        <w:t xml:space="preserve">ляется в соответствии с </w:t>
      </w:r>
      <w:hyperlink r:id="rId14" w:history="1">
        <w:r>
          <w:rPr>
            <w:rStyle w:val="a3"/>
            <w:sz w:val="24"/>
            <w:szCs w:val="24"/>
          </w:rPr>
          <w:t>МСФО (IAS) 8</w:t>
        </w:r>
      </w:hyperlink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«Учетная политика, изменения в бухгалтерских оценках и ошибки»</w:t>
      </w:r>
      <w:r>
        <w:rPr>
          <w:sz w:val="24"/>
          <w:szCs w:val="24"/>
        </w:rPr>
        <w:t>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Раскрытие прочей информации</w:t>
      </w:r>
    </w:p>
    <w:p w:rsidR="00000000" w:rsidRDefault="00F74C14">
      <w:pPr>
        <w:pStyle w:val="IASBPrinciple"/>
        <w:ind w:left="780" w:hanging="780"/>
      </w:pPr>
      <w:r>
        <w:rPr>
          <w:sz w:val="24"/>
          <w:szCs w:val="24"/>
        </w:rPr>
        <w:t>48         Организация должна раскрывать вместе с комментариями</w:t>
      </w:r>
      <w:r>
        <w:rPr>
          <w:sz w:val="24"/>
          <w:szCs w:val="24"/>
        </w:rPr>
        <w:t xml:space="preserve"> руководства сумму значительных остатков денежных средств и их эквивалентов, имеющихся у организации, но недоступных для использования группой.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49         Существуют различные обстоятельства, при которых остатки денежных средств и их эквивалентов организац</w:t>
      </w:r>
      <w:r>
        <w:rPr>
          <w:sz w:val="24"/>
          <w:szCs w:val="24"/>
        </w:rPr>
        <w:t>ии недоступны для использования группой. Примером могут служить остатки денежных средств и их эквивалентов, имеющиеся у дочерней организации, осуществляющей свою деятельность в стране, где применяются меры валютного регулирования или другие юридические огр</w:t>
      </w:r>
      <w:r>
        <w:rPr>
          <w:sz w:val="24"/>
          <w:szCs w:val="24"/>
        </w:rPr>
        <w:t>аничения, не допускающие использования этих средств в общем порядке материнской организацией или другими дочерними организациями.</w:t>
      </w:r>
    </w:p>
    <w:p w:rsidR="00000000" w:rsidRDefault="00F74C14">
      <w:pPr>
        <w:pStyle w:val="IASBNormal"/>
        <w:ind w:left="780" w:hanging="780"/>
      </w:pPr>
      <w:bookmarkStart w:id="13" w:name="SUB5000"/>
      <w:bookmarkEnd w:id="13"/>
      <w:r>
        <w:rPr>
          <w:sz w:val="24"/>
          <w:szCs w:val="24"/>
        </w:rPr>
        <w:t>50         Дополнительная информация может быть уместной для понимания пользователями финансового положения и ликвидности орга</w:t>
      </w:r>
      <w:r>
        <w:rPr>
          <w:sz w:val="24"/>
          <w:szCs w:val="24"/>
        </w:rPr>
        <w:t xml:space="preserve">низации. Раскрытие этой информации вместе с комментариями руководства поощряется и может включать: 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(a)         суммы неиспользованных кредитных средств, которые могут быть доступны для финансирования операционной деятельности в будущем и исполнения догово</w:t>
      </w:r>
      <w:r>
        <w:rPr>
          <w:sz w:val="24"/>
          <w:szCs w:val="24"/>
        </w:rPr>
        <w:t>рных обязательств по осуществлению будущих капитальных затрат, с указанием имеющихся ограничений по использованию этих средств;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(b)         [удален]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>(c)         агрегированную сумму денежных потоков, представляющую увеличение операционных возможностей, отд</w:t>
      </w:r>
      <w:r>
        <w:rPr>
          <w:sz w:val="24"/>
          <w:szCs w:val="24"/>
        </w:rPr>
        <w:t>ельно от денежных потоков, необходимых для поддержания операционных возможностей; и</w:t>
      </w:r>
    </w:p>
    <w:p w:rsidR="00000000" w:rsidRDefault="00F74C14">
      <w:pPr>
        <w:pStyle w:val="IASBNormal"/>
        <w:ind w:left="1560" w:hanging="780"/>
      </w:pPr>
      <w:r>
        <w:rPr>
          <w:sz w:val="24"/>
          <w:szCs w:val="24"/>
        </w:rPr>
        <w:t xml:space="preserve">(d)        сумму денежных потоков, возникающих от операционной, инвестиционной и финансовой деятельности каждого отчетного сегмента (см. </w:t>
      </w:r>
      <w:hyperlink r:id="rId15" w:history="1">
        <w:r>
          <w:rPr>
            <w:rStyle w:val="a3"/>
            <w:sz w:val="24"/>
            <w:szCs w:val="24"/>
          </w:rPr>
          <w:t>МСФО (IFRS) 8</w:t>
        </w:r>
      </w:hyperlink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«Операционные сегменты»</w:t>
      </w:r>
      <w:r>
        <w:rPr>
          <w:sz w:val="24"/>
          <w:szCs w:val="24"/>
        </w:rPr>
        <w:t xml:space="preserve">). 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51         </w:t>
      </w:r>
      <w:r>
        <w:rPr>
          <w:sz w:val="24"/>
          <w:szCs w:val="24"/>
        </w:rPr>
        <w:t>Отдельное раскрытие информации о денежных потоках, представляющих увеличение операционных возможностей, и о денежных потоках, необходимых для поддержания операционных возможностей, позволяет пользователям определить, достаточно ли средств организация напра</w:t>
      </w:r>
      <w:r>
        <w:rPr>
          <w:sz w:val="24"/>
          <w:szCs w:val="24"/>
        </w:rPr>
        <w:t>вляет на поддержание своих операционных возможностей. Организация, не инвестирующая достаточных средств на поддержание своих операционных возможностей, может навредить будущей доходности ради поддержания текущей ликвидности и распределений в пользу собстве</w:t>
      </w:r>
      <w:r>
        <w:rPr>
          <w:sz w:val="24"/>
          <w:szCs w:val="24"/>
        </w:rPr>
        <w:t>нников.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52         Раскрытие информации о денежных потоках по сегментам позволяет пользователям достичь лучшего понимания взаимосвязи между денежными потоками бизнеса в целом и его отдельных составляющих, а также наличия и изменчивости денежных потоков по </w:t>
      </w:r>
      <w:r>
        <w:rPr>
          <w:sz w:val="24"/>
          <w:szCs w:val="24"/>
        </w:rPr>
        <w:t>сегментам.</w:t>
      </w:r>
    </w:p>
    <w:p w:rsidR="00000000" w:rsidRDefault="00F74C14">
      <w:pPr>
        <w:pStyle w:val="IASBSectionTitleU"/>
      </w:pPr>
      <w:r>
        <w:rPr>
          <w:rFonts w:ascii="Times New Roman" w:hAnsi="Times New Roman" w:cs="Times New Roman"/>
          <w:sz w:val="24"/>
          <w:szCs w:val="24"/>
        </w:rPr>
        <w:t>Дата вступления в силу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>53         Настоящий стандарт вступает в силу в отношении финансовой отчетности, охватывающей периоды, начинающиеся 1 января 1994 года или после этой даты.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54         </w:t>
      </w:r>
      <w:hyperlink r:id="rId16" w:history="1">
        <w:r>
          <w:rPr>
            <w:rStyle w:val="a3"/>
            <w:sz w:val="24"/>
            <w:szCs w:val="24"/>
          </w:rPr>
          <w:t>МСФО (IAS) 27</w:t>
        </w:r>
      </w:hyperlink>
      <w:r>
        <w:rPr>
          <w:sz w:val="24"/>
          <w:szCs w:val="24"/>
        </w:rPr>
        <w:t xml:space="preserve"> (с учетом поправок 2008 года) внесены изменения в </w:t>
      </w:r>
      <w:hyperlink w:anchor="sub3900" w:history="1">
        <w:r>
          <w:rPr>
            <w:rStyle w:val="a3"/>
            <w:sz w:val="24"/>
            <w:szCs w:val="24"/>
          </w:rPr>
          <w:t>пункты 39-42</w:t>
        </w:r>
      </w:hyperlink>
      <w:r>
        <w:rPr>
          <w:sz w:val="24"/>
          <w:szCs w:val="24"/>
        </w:rPr>
        <w:t xml:space="preserve"> и добавлены </w:t>
      </w:r>
      <w:hyperlink w:anchor="sub420100" w:history="1">
        <w:r>
          <w:rPr>
            <w:rStyle w:val="a3"/>
            <w:sz w:val="24"/>
            <w:szCs w:val="24"/>
          </w:rPr>
          <w:t>пункты 42A и 42B</w:t>
        </w:r>
      </w:hyperlink>
      <w:r>
        <w:rPr>
          <w:sz w:val="24"/>
          <w:szCs w:val="24"/>
        </w:rPr>
        <w:t>. Организация должна применять данные поправки для годовых периодов, начинающих</w:t>
      </w:r>
      <w:r>
        <w:rPr>
          <w:sz w:val="24"/>
          <w:szCs w:val="24"/>
        </w:rPr>
        <w:t xml:space="preserve">ся 1 июля 2009 года или после этой даты. Если организация применит </w:t>
      </w:r>
      <w:hyperlink r:id="rId17" w:history="1">
        <w:r>
          <w:rPr>
            <w:rStyle w:val="a3"/>
            <w:sz w:val="24"/>
            <w:szCs w:val="24"/>
          </w:rPr>
          <w:t>МСФО (IAS) 27</w:t>
        </w:r>
      </w:hyperlink>
      <w:r>
        <w:rPr>
          <w:sz w:val="24"/>
          <w:szCs w:val="24"/>
        </w:rPr>
        <w:t xml:space="preserve"> (с учетом поправок 2008 года) для более раннего периода, поправки должны применяться для данного более раннего</w:t>
      </w:r>
      <w:r>
        <w:rPr>
          <w:sz w:val="24"/>
          <w:szCs w:val="24"/>
        </w:rPr>
        <w:t xml:space="preserve"> периода. Поправки должны применяться ретроспективно.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55         Документом </w:t>
      </w:r>
      <w:r>
        <w:rPr>
          <w:i/>
          <w:iCs/>
          <w:sz w:val="24"/>
          <w:szCs w:val="24"/>
        </w:rPr>
        <w:t>«Улучшения МСФО»</w:t>
      </w:r>
      <w:r>
        <w:rPr>
          <w:sz w:val="24"/>
          <w:szCs w:val="24"/>
        </w:rPr>
        <w:t xml:space="preserve">, выпущенным в мае 2008 года, внесена поправка в </w:t>
      </w:r>
      <w:hyperlink w:anchor="sub1400" w:history="1">
        <w:r>
          <w:rPr>
            <w:rStyle w:val="a3"/>
            <w:sz w:val="24"/>
            <w:szCs w:val="24"/>
          </w:rPr>
          <w:t>пункт 14</w:t>
        </w:r>
      </w:hyperlink>
      <w:r>
        <w:rPr>
          <w:sz w:val="24"/>
          <w:szCs w:val="24"/>
        </w:rPr>
        <w:t>. Организация должна применять данную поправку для годовых периодов, начинающ</w:t>
      </w:r>
      <w:r>
        <w:rPr>
          <w:sz w:val="24"/>
          <w:szCs w:val="24"/>
        </w:rPr>
        <w:t xml:space="preserve">ихся 1 января 2009 года или после этой даты. Допускается досрочное применение. Если организация применит поправку для более раннего периода, она должна раскрыть этот факт и применить </w:t>
      </w:r>
      <w:hyperlink r:id="rId18" w:anchor="sub_id=680100" w:history="1">
        <w:r>
          <w:rPr>
            <w:rStyle w:val="a3"/>
            <w:sz w:val="24"/>
            <w:szCs w:val="24"/>
          </w:rPr>
          <w:t>пункт 68A</w:t>
        </w:r>
      </w:hyperlink>
      <w:r>
        <w:rPr>
          <w:sz w:val="24"/>
          <w:szCs w:val="24"/>
        </w:rPr>
        <w:t xml:space="preserve"> МСФО (IAS) 16.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56         Документом </w:t>
      </w:r>
      <w:r>
        <w:rPr>
          <w:i/>
          <w:iCs/>
          <w:sz w:val="24"/>
          <w:szCs w:val="24"/>
        </w:rPr>
        <w:t>«Улучшения МСФО»</w:t>
      </w:r>
      <w:r>
        <w:rPr>
          <w:sz w:val="24"/>
          <w:szCs w:val="24"/>
        </w:rPr>
        <w:t xml:space="preserve">, выпущенным в апреле 2009 года, внесена поправка в </w:t>
      </w:r>
      <w:hyperlink w:anchor="sub1600" w:history="1">
        <w:r>
          <w:rPr>
            <w:rStyle w:val="a3"/>
            <w:sz w:val="24"/>
            <w:szCs w:val="24"/>
          </w:rPr>
          <w:t>пункт 16</w:t>
        </w:r>
      </w:hyperlink>
      <w:r>
        <w:rPr>
          <w:sz w:val="24"/>
          <w:szCs w:val="24"/>
        </w:rPr>
        <w:t>. Организация должна применять данную поправку для годовых периодов, начинающихся 1 января 20</w:t>
      </w:r>
      <w:r>
        <w:rPr>
          <w:sz w:val="24"/>
          <w:szCs w:val="24"/>
        </w:rPr>
        <w:t xml:space="preserve">10 года или после этой даты. Допускается досрочное применение. Если организация применит поправку для более раннего периода, она должна раскрыть этот факт. </w:t>
      </w:r>
    </w:p>
    <w:p w:rsidR="00000000" w:rsidRDefault="00F74C14">
      <w:pPr>
        <w:pStyle w:val="IASBNormal"/>
        <w:ind w:left="780" w:hanging="780"/>
      </w:pPr>
      <w:r>
        <w:rPr>
          <w:sz w:val="24"/>
          <w:szCs w:val="24"/>
        </w:rPr>
        <w:t xml:space="preserve">57         </w:t>
      </w:r>
      <w:hyperlink r:id="rId19" w:history="1">
        <w:r>
          <w:rPr>
            <w:rStyle w:val="a3"/>
            <w:sz w:val="24"/>
            <w:szCs w:val="24"/>
          </w:rPr>
          <w:t>МСФО (IFRS) 10</w:t>
        </w:r>
      </w:hyperlink>
      <w:r>
        <w:rPr>
          <w:sz w:val="24"/>
          <w:szCs w:val="24"/>
        </w:rPr>
        <w:t xml:space="preserve"> и </w:t>
      </w:r>
      <w:hyperlink r:id="rId20" w:history="1">
        <w:r>
          <w:rPr>
            <w:rStyle w:val="a3"/>
            <w:sz w:val="24"/>
            <w:szCs w:val="24"/>
          </w:rPr>
          <w:t>МСФО (IFRS) 11</w:t>
        </w:r>
      </w:hyperlink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«Совместное предпринимательство»</w:t>
      </w:r>
      <w:r>
        <w:rPr>
          <w:sz w:val="24"/>
          <w:szCs w:val="24"/>
        </w:rPr>
        <w:t xml:space="preserve">, выпущенными в мае 2011 года, внесены поправки в </w:t>
      </w:r>
      <w:hyperlink w:anchor="sub3700" w:history="1">
        <w:r>
          <w:rPr>
            <w:rStyle w:val="a3"/>
            <w:sz w:val="24"/>
            <w:szCs w:val="24"/>
          </w:rPr>
          <w:t>пункты 37, 38</w:t>
        </w:r>
      </w:hyperlink>
      <w:r>
        <w:rPr>
          <w:sz w:val="24"/>
          <w:szCs w:val="24"/>
        </w:rPr>
        <w:t xml:space="preserve"> и </w:t>
      </w:r>
      <w:hyperlink w:anchor="sub420200" w:history="1">
        <w:r>
          <w:rPr>
            <w:rStyle w:val="a3"/>
            <w:sz w:val="24"/>
            <w:szCs w:val="24"/>
          </w:rPr>
          <w:t>42B</w:t>
        </w:r>
      </w:hyperlink>
      <w:r>
        <w:rPr>
          <w:sz w:val="24"/>
          <w:szCs w:val="24"/>
        </w:rPr>
        <w:t xml:space="preserve"> и удален </w:t>
      </w:r>
      <w:hyperlink w:anchor="sub5000" w:history="1">
        <w:r>
          <w:rPr>
            <w:rStyle w:val="a3"/>
            <w:sz w:val="24"/>
            <w:szCs w:val="24"/>
          </w:rPr>
          <w:t>пункт 50(b).</w:t>
        </w:r>
      </w:hyperlink>
      <w:r>
        <w:rPr>
          <w:sz w:val="24"/>
          <w:szCs w:val="24"/>
        </w:rPr>
        <w:t xml:space="preserve"> Организация должна применить данные поправки одновременно с применением </w:t>
      </w:r>
      <w:hyperlink r:id="rId21" w:history="1">
        <w:r>
          <w:rPr>
            <w:rStyle w:val="a3"/>
            <w:sz w:val="24"/>
            <w:szCs w:val="24"/>
          </w:rPr>
          <w:t>МСФО (IFRS) 10</w:t>
        </w:r>
      </w:hyperlink>
      <w:r>
        <w:rPr>
          <w:sz w:val="24"/>
          <w:szCs w:val="24"/>
        </w:rPr>
        <w:t xml:space="preserve"> и </w:t>
      </w:r>
      <w:hyperlink r:id="rId22" w:history="1">
        <w:r>
          <w:rPr>
            <w:rStyle w:val="a3"/>
            <w:sz w:val="24"/>
            <w:szCs w:val="24"/>
          </w:rPr>
          <w:t>МСФО (IFRS) 11</w:t>
        </w:r>
      </w:hyperlink>
      <w:r>
        <w:rPr>
          <w:sz w:val="24"/>
          <w:szCs w:val="24"/>
        </w:rPr>
        <w:t>.</w:t>
      </w:r>
    </w:p>
    <w:p w:rsidR="00000000" w:rsidRDefault="00F74C14">
      <w:pPr>
        <w:pStyle w:val="IASBNormalnpara"/>
      </w:pPr>
      <w:r>
        <w:rPr>
          <w:sz w:val="24"/>
          <w:szCs w:val="24"/>
        </w:rPr>
        <w:t>58         Документом</w:t>
      </w:r>
      <w:r>
        <w:rPr>
          <w:i/>
          <w:iCs/>
          <w:sz w:val="24"/>
          <w:szCs w:val="24"/>
        </w:rPr>
        <w:t xml:space="preserve"> «Инвестиционные организации»</w:t>
      </w:r>
      <w:r>
        <w:rPr>
          <w:sz w:val="24"/>
          <w:szCs w:val="24"/>
        </w:rPr>
        <w:t xml:space="preserve"> (поправки к </w:t>
      </w:r>
      <w:hyperlink r:id="rId23" w:history="1">
        <w:r>
          <w:rPr>
            <w:rStyle w:val="a3"/>
            <w:sz w:val="24"/>
            <w:szCs w:val="24"/>
          </w:rPr>
          <w:t>МСФО (IFRS) 10</w:t>
        </w:r>
      </w:hyperlink>
      <w:r>
        <w:rPr>
          <w:sz w:val="24"/>
          <w:szCs w:val="24"/>
        </w:rPr>
        <w:t xml:space="preserve">, </w:t>
      </w:r>
      <w:hyperlink r:id="rId24" w:history="1">
        <w:r>
          <w:rPr>
            <w:rStyle w:val="a3"/>
            <w:sz w:val="24"/>
            <w:szCs w:val="24"/>
          </w:rPr>
          <w:t>МСФО (IFRS) 12</w:t>
        </w:r>
      </w:hyperlink>
      <w:r>
        <w:rPr>
          <w:sz w:val="24"/>
          <w:szCs w:val="24"/>
        </w:rPr>
        <w:t xml:space="preserve"> и </w:t>
      </w:r>
      <w:hyperlink r:id="rId25" w:history="1">
        <w:r>
          <w:rPr>
            <w:rStyle w:val="a3"/>
            <w:sz w:val="24"/>
            <w:szCs w:val="24"/>
          </w:rPr>
          <w:t>МСФО (IAS) 27</w:t>
        </w:r>
      </w:hyperlink>
      <w:r>
        <w:rPr>
          <w:sz w:val="24"/>
          <w:szCs w:val="24"/>
        </w:rPr>
        <w:t xml:space="preserve">), выпущенным в октябре 2012 года, внесены изменения в </w:t>
      </w:r>
      <w:hyperlink w:anchor="sub420100" w:history="1">
        <w:r>
          <w:rPr>
            <w:rStyle w:val="a3"/>
            <w:sz w:val="24"/>
            <w:szCs w:val="24"/>
          </w:rPr>
          <w:t>пункты 42А и 42В</w:t>
        </w:r>
      </w:hyperlink>
      <w:r>
        <w:rPr>
          <w:sz w:val="24"/>
          <w:szCs w:val="24"/>
        </w:rPr>
        <w:t xml:space="preserve">, а также добавлен </w:t>
      </w:r>
      <w:hyperlink w:anchor="sub400100" w:history="1">
        <w:r>
          <w:rPr>
            <w:rStyle w:val="a3"/>
            <w:sz w:val="24"/>
            <w:szCs w:val="24"/>
          </w:rPr>
          <w:t>пункт 40А</w:t>
        </w:r>
      </w:hyperlink>
      <w:r>
        <w:rPr>
          <w:sz w:val="24"/>
          <w:szCs w:val="24"/>
        </w:rPr>
        <w:t>. Организация должна пр</w:t>
      </w:r>
      <w:r>
        <w:rPr>
          <w:sz w:val="24"/>
          <w:szCs w:val="24"/>
        </w:rPr>
        <w:t xml:space="preserve">именять данные поправки для годовых периодов, начинающихся 1 января 2014 года или после этой даты. Допускается досрочное применение документа </w:t>
      </w:r>
      <w:r>
        <w:rPr>
          <w:i/>
          <w:iCs/>
          <w:sz w:val="24"/>
          <w:szCs w:val="24"/>
        </w:rPr>
        <w:t>«Инвестиционные организации»</w:t>
      </w:r>
      <w:r>
        <w:rPr>
          <w:sz w:val="24"/>
          <w:szCs w:val="24"/>
        </w:rPr>
        <w:t>. Если организация применит данные поправки досрочно, она должна применить одновременн</w:t>
      </w:r>
      <w:r>
        <w:rPr>
          <w:sz w:val="24"/>
          <w:szCs w:val="24"/>
        </w:rPr>
        <w:t xml:space="preserve">о все поправки, включенные в состав документа </w:t>
      </w:r>
      <w:r>
        <w:rPr>
          <w:i/>
          <w:iCs/>
          <w:sz w:val="24"/>
          <w:szCs w:val="24"/>
        </w:rPr>
        <w:t>«Инвестиционные организации».</w:t>
      </w:r>
    </w:p>
    <w:p w:rsidR="00000000" w:rsidRDefault="00F74C14">
      <w:pPr>
        <w:jc w:val="both"/>
      </w:pPr>
      <w:r>
        <w:rPr>
          <w:rStyle w:val="s3"/>
        </w:rPr>
        <w:t xml:space="preserve">См. поправки - </w:t>
      </w:r>
      <w:hyperlink r:id="rId26" w:anchor="sub_id=97" w:history="1">
        <w:r>
          <w:rPr>
            <w:rStyle w:val="a3"/>
            <w:i/>
            <w:iCs/>
          </w:rPr>
          <w:t>МСФО (IFRS) 16</w:t>
        </w:r>
      </w:hyperlink>
      <w:r>
        <w:rPr>
          <w:rStyle w:val="s3"/>
        </w:rPr>
        <w:t xml:space="preserve"> «Аренда»</w:t>
      </w:r>
    </w:p>
    <w:p w:rsidR="00000000" w:rsidRDefault="00F74C14">
      <w:r>
        <w:t> </w:t>
      </w:r>
    </w:p>
    <w:p w:rsidR="00000000" w:rsidRDefault="00F74C14">
      <w:pPr>
        <w:jc w:val="both"/>
      </w:pPr>
      <w:hyperlink r:id="rId27" w:history="1">
        <w:r>
          <w:rPr>
            <w:rStyle w:val="a3"/>
            <w:i/>
            <w:iCs/>
          </w:rPr>
          <w:t>Документом</w:t>
        </w:r>
      </w:hyperlink>
      <w:r>
        <w:rPr>
          <w:rStyle w:val="s3"/>
        </w:rPr>
        <w:t xml:space="preserve"> «Инициатива в сфере раскрытия информации» (поправки к МСФО (IAS) 7), выпущенным в январе 2016 года, добавлен пункт 60</w:t>
      </w:r>
    </w:p>
    <w:p w:rsidR="00000000" w:rsidRDefault="00F74C14">
      <w:r>
        <w:t> </w:t>
      </w:r>
    </w:p>
    <w:p w:rsidR="00000000" w:rsidRDefault="00F74C14">
      <w:r>
        <w:t>_______________________________________</w:t>
      </w:r>
    </w:p>
    <w:p w:rsidR="00000000" w:rsidRDefault="00F74C14">
      <w:pPr>
        <w:jc w:val="both"/>
      </w:pPr>
      <w:r>
        <w:t xml:space="preserve">В сентябре 2007 года Совет по МСФО изменил название </w:t>
      </w:r>
      <w:hyperlink w:anchor="sub0" w:history="1">
        <w:r>
          <w:rPr>
            <w:rStyle w:val="a3"/>
          </w:rPr>
          <w:t>МСФО (IAS) 7</w:t>
        </w:r>
      </w:hyperlink>
      <w:r>
        <w:t xml:space="preserve"> с </w:t>
      </w:r>
      <w:r>
        <w:rPr>
          <w:i/>
          <w:iCs/>
        </w:rPr>
        <w:t>«Отчет о денежных потоках»</w:t>
      </w:r>
      <w:r>
        <w:t xml:space="preserve"> на </w:t>
      </w:r>
      <w:r>
        <w:rPr>
          <w:i/>
          <w:iCs/>
        </w:rPr>
        <w:t>«Отчет о движении денежных средств»</w:t>
      </w:r>
      <w:r>
        <w:t xml:space="preserve"> в результате пересмотра </w:t>
      </w:r>
      <w:hyperlink r:id="rId28" w:history="1">
        <w:r>
          <w:rPr>
            <w:rStyle w:val="a3"/>
          </w:rPr>
          <w:t>МСФО (IAS) 1</w:t>
        </w:r>
      </w:hyperlink>
      <w:r>
        <w:t xml:space="preserve"> </w:t>
      </w:r>
      <w:r>
        <w:rPr>
          <w:i/>
          <w:iCs/>
        </w:rPr>
        <w:t>«Представление финансовой отчетности»</w:t>
      </w:r>
      <w:r>
        <w:t xml:space="preserve"> в 2007 году.</w:t>
      </w:r>
    </w:p>
    <w:p w:rsidR="00000000" w:rsidRDefault="00F74C14">
      <w:r>
        <w:t> </w:t>
      </w:r>
    </w:p>
    <w:p w:rsidR="00000000" w:rsidRDefault="00F74C14">
      <w:r>
        <w:t> </w:t>
      </w:r>
    </w:p>
    <w:p w:rsidR="00000000" w:rsidRDefault="00F74C14">
      <w:r>
        <w:t> </w:t>
      </w:r>
    </w:p>
    <w:p w:rsidR="00000000" w:rsidRDefault="00F74C14">
      <w:r>
        <w:t> </w:t>
      </w:r>
    </w:p>
    <w:p w:rsidR="00000000" w:rsidRDefault="00F74C14">
      <w:pPr>
        <w:jc w:val="center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C14" w:rsidRDefault="00F74C14" w:rsidP="00F74C14">
      <w:r>
        <w:separator/>
      </w:r>
    </w:p>
  </w:endnote>
  <w:endnote w:type="continuationSeparator" w:id="0">
    <w:p w:rsidR="00F74C14" w:rsidRDefault="00F74C14" w:rsidP="00F74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C14" w:rsidRDefault="00F74C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C14" w:rsidRDefault="00F74C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C14" w:rsidRDefault="00F74C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C14" w:rsidRDefault="00F74C14" w:rsidP="00F74C14">
      <w:r>
        <w:separator/>
      </w:r>
    </w:p>
  </w:footnote>
  <w:footnote w:type="continuationSeparator" w:id="0">
    <w:p w:rsidR="00F74C14" w:rsidRDefault="00F74C14" w:rsidP="00F74C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C14" w:rsidRDefault="00F74C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C14" w:rsidRDefault="00F74C14" w:rsidP="00F74C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4C14" w:rsidRDefault="00F74C14" w:rsidP="00F74C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Международный стандарт финансовой отчетности (IAS) 7 «Отчет о движении денежных средств» (2015 год)</w:t>
    </w:r>
  </w:p>
  <w:p w:rsidR="00F74C14" w:rsidRPr="00F74C14" w:rsidRDefault="00F74C14" w:rsidP="00F74C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31.03.2004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C14" w:rsidRDefault="00F74C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C14"/>
    <w:rsid w:val="00F7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IASBNormal">
    <w:name w:val="IASB Normal"/>
    <w:basedOn w:val="a"/>
    <w:pPr>
      <w:spacing w:before="100" w:after="100"/>
      <w:jc w:val="both"/>
    </w:pPr>
    <w:rPr>
      <w:color w:val="auto"/>
      <w:sz w:val="19"/>
      <w:szCs w:val="19"/>
    </w:rPr>
  </w:style>
  <w:style w:type="paragraph" w:customStyle="1" w:styleId="IASBPrinciple">
    <w:name w:val="IASB Principle"/>
    <w:basedOn w:val="a"/>
    <w:pPr>
      <w:spacing w:before="100" w:after="100"/>
      <w:jc w:val="both"/>
    </w:pPr>
    <w:rPr>
      <w:b/>
      <w:bCs/>
      <w:color w:val="auto"/>
      <w:sz w:val="19"/>
      <w:szCs w:val="19"/>
    </w:rPr>
  </w:style>
  <w:style w:type="paragraph" w:customStyle="1" w:styleId="IASBSectionTitleU">
    <w:name w:val="IASB Section Title U"/>
    <w:basedOn w:val="a"/>
    <w:pPr>
      <w:keepNext/>
      <w:spacing w:before="400" w:after="200"/>
    </w:pPr>
    <w:rPr>
      <w:rFonts w:ascii="Arial" w:hAnsi="Arial" w:cs="Arial"/>
      <w:b/>
      <w:bCs/>
      <w:color w:val="auto"/>
      <w:sz w:val="26"/>
      <w:szCs w:val="26"/>
    </w:rPr>
  </w:style>
  <w:style w:type="paragraph" w:customStyle="1" w:styleId="DaveIASBSubsectionTitle">
    <w:name w:val="Dave IASB Subsection Title"/>
    <w:basedOn w:val="a"/>
    <w:pPr>
      <w:keepNext/>
      <w:spacing w:before="300" w:after="200"/>
      <w:ind w:left="780"/>
    </w:pPr>
    <w:rPr>
      <w:rFonts w:ascii="Arial" w:hAnsi="Arial" w:cs="Arial"/>
      <w:b/>
      <w:bCs/>
      <w:color w:val="auto"/>
      <w:sz w:val="26"/>
      <w:szCs w:val="26"/>
    </w:rPr>
  </w:style>
  <w:style w:type="paragraph" w:customStyle="1" w:styleId="IASBNormalnpara">
    <w:name w:val="IASB Normal npara"/>
    <w:basedOn w:val="a"/>
    <w:pPr>
      <w:spacing w:before="100"/>
      <w:ind w:left="782" w:hanging="782"/>
      <w:jc w:val="both"/>
    </w:pPr>
    <w:rPr>
      <w:color w:val="auto"/>
      <w:sz w:val="19"/>
      <w:szCs w:val="1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C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C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4C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C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IASBNormal">
    <w:name w:val="IASB Normal"/>
    <w:basedOn w:val="a"/>
    <w:pPr>
      <w:spacing w:before="100" w:after="100"/>
      <w:jc w:val="both"/>
    </w:pPr>
    <w:rPr>
      <w:color w:val="auto"/>
      <w:sz w:val="19"/>
      <w:szCs w:val="19"/>
    </w:rPr>
  </w:style>
  <w:style w:type="paragraph" w:customStyle="1" w:styleId="IASBPrinciple">
    <w:name w:val="IASB Principle"/>
    <w:basedOn w:val="a"/>
    <w:pPr>
      <w:spacing w:before="100" w:after="100"/>
      <w:jc w:val="both"/>
    </w:pPr>
    <w:rPr>
      <w:b/>
      <w:bCs/>
      <w:color w:val="auto"/>
      <w:sz w:val="19"/>
      <w:szCs w:val="19"/>
    </w:rPr>
  </w:style>
  <w:style w:type="paragraph" w:customStyle="1" w:styleId="IASBSectionTitleU">
    <w:name w:val="IASB Section Title U"/>
    <w:basedOn w:val="a"/>
    <w:pPr>
      <w:keepNext/>
      <w:spacing w:before="400" w:after="200"/>
    </w:pPr>
    <w:rPr>
      <w:rFonts w:ascii="Arial" w:hAnsi="Arial" w:cs="Arial"/>
      <w:b/>
      <w:bCs/>
      <w:color w:val="auto"/>
      <w:sz w:val="26"/>
      <w:szCs w:val="26"/>
    </w:rPr>
  </w:style>
  <w:style w:type="paragraph" w:customStyle="1" w:styleId="DaveIASBSubsectionTitle">
    <w:name w:val="Dave IASB Subsection Title"/>
    <w:basedOn w:val="a"/>
    <w:pPr>
      <w:keepNext/>
      <w:spacing w:before="300" w:after="200"/>
      <w:ind w:left="780"/>
    </w:pPr>
    <w:rPr>
      <w:rFonts w:ascii="Arial" w:hAnsi="Arial" w:cs="Arial"/>
      <w:b/>
      <w:bCs/>
      <w:color w:val="auto"/>
      <w:sz w:val="26"/>
      <w:szCs w:val="26"/>
    </w:rPr>
  </w:style>
  <w:style w:type="paragraph" w:customStyle="1" w:styleId="IASBNormalnpara">
    <w:name w:val="IASB Normal npara"/>
    <w:basedOn w:val="a"/>
    <w:pPr>
      <w:spacing w:before="100"/>
      <w:ind w:left="782" w:hanging="782"/>
      <w:jc w:val="both"/>
    </w:pPr>
    <w:rPr>
      <w:color w:val="auto"/>
      <w:sz w:val="19"/>
      <w:szCs w:val="1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C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C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4C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C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1785" TargetMode="External"/><Relationship Id="rId18" Type="http://schemas.openxmlformats.org/officeDocument/2006/relationships/hyperlink" Target="http://online.zakon.kz/Document/?doc_id=1051802" TargetMode="External"/><Relationship Id="rId26" Type="http://schemas.openxmlformats.org/officeDocument/2006/relationships/hyperlink" Target="http://online.zakon.kz/Document/?doc_id=3562151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71976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5621517" TargetMode="External"/><Relationship Id="rId12" Type="http://schemas.openxmlformats.org/officeDocument/2006/relationships/hyperlink" Target="http://online.zakon.kz/Document/?doc_id=37701455" TargetMode="External"/><Relationship Id="rId17" Type="http://schemas.openxmlformats.org/officeDocument/2006/relationships/hyperlink" Target="http://online.zakon.kz/Document/?doc_id=30003721" TargetMode="External"/><Relationship Id="rId25" Type="http://schemas.openxmlformats.org/officeDocument/2006/relationships/hyperlink" Target="http://online.zakon.kz/Document/?doc_id=30003721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3721" TargetMode="External"/><Relationship Id="rId20" Type="http://schemas.openxmlformats.org/officeDocument/2006/relationships/hyperlink" Target="http://online.zakon.kz/Document/?doc_id=31271997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21517" TargetMode="External"/><Relationship Id="rId24" Type="http://schemas.openxmlformats.org/officeDocument/2006/relationships/hyperlink" Target="http://online.zakon.kz/Document/?doc_id=31272007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790" TargetMode="External"/><Relationship Id="rId23" Type="http://schemas.openxmlformats.org/officeDocument/2006/relationships/hyperlink" Target="http://online.zakon.kz/Document/?doc_id=31271976" TargetMode="External"/><Relationship Id="rId28" Type="http://schemas.openxmlformats.org/officeDocument/2006/relationships/hyperlink" Target="http://online.zakon.kz/Document/?doc_id=105178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271976" TargetMode="External"/><Relationship Id="rId19" Type="http://schemas.openxmlformats.org/officeDocument/2006/relationships/hyperlink" Target="http://online.zakon.kz/Document/?doc_id=31271976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3573" TargetMode="External"/><Relationship Id="rId14" Type="http://schemas.openxmlformats.org/officeDocument/2006/relationships/hyperlink" Target="http://online.zakon.kz/Document/?doc_id=1051790" TargetMode="External"/><Relationship Id="rId22" Type="http://schemas.openxmlformats.org/officeDocument/2006/relationships/hyperlink" Target="http://online.zakon.kz/Document/?doc_id=31271997" TargetMode="External"/><Relationship Id="rId27" Type="http://schemas.openxmlformats.org/officeDocument/2006/relationships/hyperlink" Target="http://online.zakon.kz/Document/?doc_id=37701455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0035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4174</Words>
  <Characters>31955</Characters>
  <Application>Microsoft Office Word</Application>
  <DocSecurity>0</DocSecurity>
  <Lines>266</Lines>
  <Paragraphs>72</Paragraphs>
  <ScaleCrop>false</ScaleCrop>
  <Company/>
  <LinksUpToDate>false</LinksUpToDate>
  <CharactersWithSpaces>36057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Международный стандарт финансовой отчетности (IAS) 7 «Отчет о движении денежных средств» (2015 год) (©Paragraph 2023)</dc:title>
  <dc:subject/>
  <dc:creator>Сергей М</dc:creator>
  <cp:keywords/>
  <dc:description/>
  <cp:lastModifiedBy>Сергей М</cp:lastModifiedBy>
  <cp:revision>2</cp:revision>
  <dcterms:created xsi:type="dcterms:W3CDTF">2023-11-06T14:58:00Z</dcterms:created>
  <dcterms:modified xsi:type="dcterms:W3CDTF">2023-11-06T14:58:00Z</dcterms:modified>
</cp:coreProperties>
</file>