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0FBD">
      <w:pPr>
        <w:jc w:val="center"/>
      </w:pPr>
      <w:bookmarkStart w:id="0" w:name="_GoBack"/>
      <w:bookmarkEnd w:id="0"/>
      <w:r>
        <w:rPr>
          <w:rStyle w:val="s1"/>
        </w:rPr>
        <w:t>Международный стандарт финансовой отчетности (IAS) 27</w:t>
      </w:r>
      <w:r>
        <w:rPr>
          <w:b/>
          <w:bCs/>
        </w:rPr>
        <w:br/>
      </w:r>
      <w:r>
        <w:rPr>
          <w:rStyle w:val="s1"/>
        </w:rPr>
        <w:t>«Отдельная финансовая отчетность»</w:t>
      </w:r>
    </w:p>
    <w:p w:rsidR="00000000" w:rsidRDefault="00750FBD">
      <w:r>
        <w:t> </w:t>
      </w:r>
    </w:p>
    <w:p w:rsidR="00000000" w:rsidRDefault="00750FBD">
      <w:pPr>
        <w:jc w:val="both"/>
      </w:pPr>
      <w:hyperlink r:id="rId7" w:anchor="sub_id=38" w:history="1">
        <w:r>
          <w:rPr>
            <w:rStyle w:val="a3"/>
            <w:i/>
            <w:iCs/>
          </w:rPr>
          <w:t>МСФО (IFRS) 10</w:t>
        </w:r>
      </w:hyperlink>
      <w:r>
        <w:rPr>
          <w:rStyle w:val="s3"/>
        </w:rPr>
        <w:t xml:space="preserve"> </w:t>
      </w:r>
      <w:r>
        <w:rPr>
          <w:rStyle w:val="s3"/>
        </w:rPr>
        <w:t>«Консолидированная финансовая отчетность» заменяет собой требования к консолидированной финансовой отчетности  в МСФО (IAS) 27 (с учетом поправок 2008 года)</w:t>
      </w:r>
    </w:p>
    <w:p w:rsidR="00000000" w:rsidRDefault="00750FBD">
      <w:r>
        <w:t> </w:t>
      </w:r>
    </w:p>
    <w:p w:rsidR="00000000" w:rsidRDefault="00750FBD">
      <w:pPr>
        <w:pStyle w:val="IASBSectionTitleU"/>
      </w:pPr>
      <w:r>
        <w:rPr>
          <w:rFonts w:ascii="Times New Roman" w:hAnsi="Times New Roman" w:cs="Times New Roman"/>
          <w:sz w:val="24"/>
          <w:szCs w:val="24"/>
        </w:rPr>
        <w:t>Цель</w:t>
      </w:r>
    </w:p>
    <w:p w:rsidR="00000000" w:rsidRDefault="00750FBD">
      <w:pPr>
        <w:pStyle w:val="IASBNormal"/>
        <w:ind w:left="780" w:hanging="780"/>
      </w:pPr>
      <w:r>
        <w:rPr>
          <w:sz w:val="24"/>
          <w:szCs w:val="24"/>
        </w:rPr>
        <w:t>1.           Целью настоящего стандарта является установление правил учета и раскрытия инфор</w:t>
      </w:r>
      <w:r>
        <w:rPr>
          <w:sz w:val="24"/>
          <w:szCs w:val="24"/>
        </w:rPr>
        <w:t>мации в отношении инвестиций в дочерние организации, совместные предприятия и ассоциированные организации при подготовке организацией отдельной финансовой отчетности.</w:t>
      </w:r>
    </w:p>
    <w:p w:rsidR="00000000" w:rsidRDefault="00750FBD">
      <w:pPr>
        <w:pStyle w:val="IASBSectionTitleU"/>
      </w:pPr>
      <w:r>
        <w:rPr>
          <w:rFonts w:ascii="Times New Roman" w:hAnsi="Times New Roman" w:cs="Times New Roman"/>
          <w:sz w:val="24"/>
          <w:szCs w:val="24"/>
        </w:rPr>
        <w:t>Сфера применения</w:t>
      </w:r>
    </w:p>
    <w:p w:rsidR="00000000" w:rsidRDefault="00750FBD">
      <w:pPr>
        <w:pStyle w:val="IASBPrinciple"/>
        <w:ind w:left="780" w:hanging="780"/>
      </w:pPr>
      <w:r>
        <w:rPr>
          <w:sz w:val="24"/>
          <w:szCs w:val="24"/>
        </w:rPr>
        <w:t>2.           Настоящий стандарт применяется при учете инвестиций в дочер</w:t>
      </w:r>
      <w:r>
        <w:rPr>
          <w:sz w:val="24"/>
          <w:szCs w:val="24"/>
        </w:rPr>
        <w:t>ние организации, совместные предприятия и ассоциированные организации, если организация делает выбор или обязана по местным нормативно-правовым актам представлять отдельную финансовую отчетность.</w:t>
      </w:r>
    </w:p>
    <w:p w:rsidR="00000000" w:rsidRDefault="00750FBD">
      <w:pPr>
        <w:pStyle w:val="IASBNormal"/>
        <w:ind w:left="780" w:hanging="780"/>
      </w:pPr>
      <w:r>
        <w:rPr>
          <w:sz w:val="24"/>
          <w:szCs w:val="24"/>
        </w:rPr>
        <w:t>3.           Настоящий стандарт не устанавливает, какие орга</w:t>
      </w:r>
      <w:r>
        <w:rPr>
          <w:sz w:val="24"/>
          <w:szCs w:val="24"/>
        </w:rPr>
        <w:t xml:space="preserve">низации обязаны составлять отдельную финансовую отчетность. Стандарт применяется, когда организация подготавливает отдельную финансовую отчетность в соответствии с Международными стандартами финансовой отчетности. </w:t>
      </w:r>
    </w:p>
    <w:p w:rsidR="00000000" w:rsidRDefault="00750FBD">
      <w:pPr>
        <w:pStyle w:val="IASBSectionTitleU"/>
      </w:pPr>
      <w:r>
        <w:rPr>
          <w:rFonts w:ascii="Times New Roman" w:hAnsi="Times New Roman" w:cs="Times New Roman"/>
          <w:sz w:val="24"/>
          <w:szCs w:val="24"/>
        </w:rPr>
        <w:t>Определения</w:t>
      </w:r>
    </w:p>
    <w:p w:rsidR="00000000" w:rsidRDefault="00750FBD">
      <w:pPr>
        <w:pStyle w:val="IASBPrinciple"/>
        <w:ind w:left="780" w:hanging="780"/>
      </w:pPr>
      <w:r>
        <w:rPr>
          <w:sz w:val="24"/>
          <w:szCs w:val="24"/>
        </w:rPr>
        <w:t>4.           В настоящем стан</w:t>
      </w:r>
      <w:r>
        <w:rPr>
          <w:sz w:val="24"/>
          <w:szCs w:val="24"/>
        </w:rPr>
        <w:t>дарте используются следующие термины в указанных значениях:</w:t>
      </w:r>
    </w:p>
    <w:p w:rsidR="00000000" w:rsidRDefault="00750FBD">
      <w:pPr>
        <w:pStyle w:val="IASBPrinciple"/>
        <w:ind w:left="780"/>
      </w:pPr>
      <w:r>
        <w:rPr>
          <w:i/>
          <w:iCs/>
          <w:sz w:val="24"/>
          <w:szCs w:val="24"/>
        </w:rPr>
        <w:t>Консолидированная финансовая отчетность </w:t>
      </w:r>
      <w:r>
        <w:rPr>
          <w:sz w:val="24"/>
          <w:szCs w:val="24"/>
        </w:rPr>
        <w:t>- финансовая отчетность группы, в которой активы, обязательства, собственный капитал, доходы, расходы и денежные потоки материнской организации и ее дочерни</w:t>
      </w:r>
      <w:r>
        <w:rPr>
          <w:sz w:val="24"/>
          <w:szCs w:val="24"/>
        </w:rPr>
        <w:t>х организаций представляются как относящиеся к единому хозяйствующему субъекту.</w:t>
      </w:r>
    </w:p>
    <w:p w:rsidR="00000000" w:rsidRDefault="00750FBD">
      <w:pPr>
        <w:pStyle w:val="IASBPrinciple"/>
        <w:ind w:left="780"/>
      </w:pPr>
      <w:r>
        <w:rPr>
          <w:i/>
          <w:iCs/>
          <w:sz w:val="24"/>
          <w:szCs w:val="24"/>
        </w:rPr>
        <w:t>Отдельная финансовая отчетность</w:t>
      </w:r>
      <w:r>
        <w:rPr>
          <w:sz w:val="24"/>
          <w:szCs w:val="24"/>
        </w:rPr>
        <w:t> - составляемая материнской организацией (т. е. инвестором, имеющим контроль над дочерней организацией) или инвестором, имеющим совместный контро</w:t>
      </w:r>
      <w:r>
        <w:rPr>
          <w:sz w:val="24"/>
          <w:szCs w:val="24"/>
        </w:rPr>
        <w:t xml:space="preserve">ль над объектом инвестиций или значительное влияние на него, финансовая отчетность, в которой инвестиции учитываются по первоначальной стоимости или в соответствии с </w:t>
      </w:r>
      <w:hyperlink r:id="rId8" w:history="1">
        <w:r>
          <w:rPr>
            <w:rStyle w:val="a3"/>
            <w:b w:val="0"/>
            <w:bCs w:val="0"/>
            <w:sz w:val="24"/>
            <w:szCs w:val="24"/>
          </w:rPr>
          <w:t>МСФО (IFRS) 9</w:t>
        </w:r>
      </w:hyperlink>
      <w:r>
        <w:rPr>
          <w:sz w:val="24"/>
          <w:szCs w:val="24"/>
        </w:rPr>
        <w:t xml:space="preserve"> </w:t>
      </w:r>
      <w:r>
        <w:rPr>
          <w:i/>
          <w:iCs/>
          <w:sz w:val="24"/>
          <w:szCs w:val="24"/>
        </w:rPr>
        <w:t>«Финансовые</w:t>
      </w:r>
      <w:r>
        <w:rPr>
          <w:i/>
          <w:iCs/>
          <w:sz w:val="24"/>
          <w:szCs w:val="24"/>
        </w:rPr>
        <w:t xml:space="preserve"> инструменты»</w:t>
      </w:r>
      <w:r>
        <w:rPr>
          <w:sz w:val="24"/>
          <w:szCs w:val="24"/>
        </w:rPr>
        <w:t>.</w:t>
      </w:r>
    </w:p>
    <w:p w:rsidR="00000000" w:rsidRDefault="00750FBD">
      <w:pPr>
        <w:pStyle w:val="IASBNormal"/>
        <w:ind w:left="780" w:hanging="780"/>
      </w:pPr>
      <w:bookmarkStart w:id="1" w:name="SUB500"/>
      <w:bookmarkEnd w:id="1"/>
      <w:r>
        <w:rPr>
          <w:sz w:val="24"/>
          <w:szCs w:val="24"/>
        </w:rPr>
        <w:t xml:space="preserve">5.           Следующие определения установлены в </w:t>
      </w:r>
      <w:hyperlink r:id="rId9" w:anchor="sub_id=1" w:history="1">
        <w:r>
          <w:rPr>
            <w:rStyle w:val="a3"/>
            <w:sz w:val="24"/>
            <w:szCs w:val="24"/>
          </w:rPr>
          <w:t>Приложении A</w:t>
        </w:r>
      </w:hyperlink>
      <w:r>
        <w:rPr>
          <w:sz w:val="24"/>
          <w:szCs w:val="24"/>
        </w:rPr>
        <w:t xml:space="preserve"> </w:t>
      </w:r>
      <w:hyperlink r:id="rId10" w:history="1">
        <w:r>
          <w:rPr>
            <w:rStyle w:val="a3"/>
            <w:sz w:val="24"/>
            <w:szCs w:val="24"/>
          </w:rPr>
          <w:t>МСФО (IFRS) 10</w:t>
        </w:r>
      </w:hyperlink>
      <w:r>
        <w:rPr>
          <w:sz w:val="24"/>
          <w:szCs w:val="24"/>
        </w:rPr>
        <w:t xml:space="preserve"> </w:t>
      </w:r>
      <w:r>
        <w:rPr>
          <w:i/>
          <w:iCs/>
          <w:sz w:val="24"/>
          <w:szCs w:val="24"/>
        </w:rPr>
        <w:t>«Консолидированная ф</w:t>
      </w:r>
      <w:r>
        <w:rPr>
          <w:i/>
          <w:iCs/>
          <w:sz w:val="24"/>
          <w:szCs w:val="24"/>
        </w:rPr>
        <w:t>инансовая отчетность»</w:t>
      </w:r>
      <w:r>
        <w:rPr>
          <w:sz w:val="24"/>
          <w:szCs w:val="24"/>
        </w:rPr>
        <w:t xml:space="preserve">, </w:t>
      </w:r>
      <w:hyperlink r:id="rId11" w:anchor="sub_id=1" w:history="1">
        <w:r>
          <w:rPr>
            <w:rStyle w:val="a3"/>
            <w:sz w:val="24"/>
            <w:szCs w:val="24"/>
          </w:rPr>
          <w:t>Приложении A</w:t>
        </w:r>
      </w:hyperlink>
      <w:r>
        <w:rPr>
          <w:sz w:val="24"/>
          <w:szCs w:val="24"/>
        </w:rPr>
        <w:t xml:space="preserve"> МСФО (IFRS) 11 </w:t>
      </w:r>
      <w:r>
        <w:rPr>
          <w:i/>
          <w:iCs/>
          <w:sz w:val="24"/>
          <w:szCs w:val="24"/>
        </w:rPr>
        <w:t>«Совместное предпринимательство»</w:t>
      </w:r>
      <w:r>
        <w:rPr>
          <w:sz w:val="24"/>
          <w:szCs w:val="24"/>
        </w:rPr>
        <w:t xml:space="preserve"> и </w:t>
      </w:r>
      <w:hyperlink r:id="rId12" w:anchor="sub_id=300" w:history="1">
        <w:r>
          <w:rPr>
            <w:rStyle w:val="a3"/>
            <w:sz w:val="24"/>
            <w:szCs w:val="24"/>
          </w:rPr>
          <w:t>пункте 3</w:t>
        </w:r>
      </w:hyperlink>
      <w:r>
        <w:rPr>
          <w:sz w:val="24"/>
          <w:szCs w:val="24"/>
        </w:rPr>
        <w:t xml:space="preserve"> М</w:t>
      </w:r>
      <w:r>
        <w:rPr>
          <w:sz w:val="24"/>
          <w:szCs w:val="24"/>
        </w:rPr>
        <w:t xml:space="preserve">СФО (IAS) 28 </w:t>
      </w:r>
      <w:r>
        <w:rPr>
          <w:i/>
          <w:iCs/>
          <w:sz w:val="24"/>
          <w:szCs w:val="24"/>
        </w:rPr>
        <w:t>«Инвестиции в ассоциированные организации и совместные предприятия»</w:t>
      </w:r>
      <w:r>
        <w:rPr>
          <w:sz w:val="24"/>
          <w:szCs w:val="24"/>
        </w:rPr>
        <w:t>:</w:t>
      </w:r>
    </w:p>
    <w:p w:rsidR="00000000" w:rsidRDefault="00750FBD">
      <w:pPr>
        <w:pStyle w:val="IASBNormal"/>
        <w:ind w:left="1560" w:hanging="780"/>
      </w:pPr>
      <w:r>
        <w:rPr>
          <w:sz w:val="24"/>
          <w:szCs w:val="24"/>
        </w:rPr>
        <w:t>•            ассоциированная организация;</w:t>
      </w:r>
    </w:p>
    <w:p w:rsidR="00000000" w:rsidRDefault="00750FBD">
      <w:pPr>
        <w:pStyle w:val="IASBNormal"/>
        <w:ind w:left="1560" w:hanging="780"/>
      </w:pPr>
      <w:r>
        <w:rPr>
          <w:sz w:val="24"/>
          <w:szCs w:val="24"/>
        </w:rPr>
        <w:t>•            контроль над объектом инвестиций;</w:t>
      </w:r>
    </w:p>
    <w:p w:rsidR="00000000" w:rsidRDefault="00750FBD">
      <w:pPr>
        <w:pStyle w:val="IASBNormal"/>
        <w:ind w:left="1560" w:hanging="780"/>
      </w:pPr>
      <w:r>
        <w:rPr>
          <w:sz w:val="24"/>
          <w:szCs w:val="24"/>
        </w:rPr>
        <w:t>•            группа;</w:t>
      </w:r>
    </w:p>
    <w:p w:rsidR="00000000" w:rsidRDefault="00750FBD">
      <w:pPr>
        <w:pStyle w:val="IASBNormal"/>
        <w:ind w:left="1560" w:hanging="780"/>
      </w:pPr>
      <w:r>
        <w:rPr>
          <w:sz w:val="24"/>
          <w:szCs w:val="24"/>
        </w:rPr>
        <w:t>•            инвестиционная организация;</w:t>
      </w:r>
    </w:p>
    <w:p w:rsidR="00000000" w:rsidRDefault="00750FBD">
      <w:pPr>
        <w:pStyle w:val="IASBNormal"/>
        <w:ind w:left="1560" w:hanging="780"/>
      </w:pPr>
      <w:r>
        <w:rPr>
          <w:sz w:val="24"/>
          <w:szCs w:val="24"/>
        </w:rPr>
        <w:t xml:space="preserve">•            </w:t>
      </w:r>
      <w:r>
        <w:rPr>
          <w:sz w:val="24"/>
          <w:szCs w:val="24"/>
        </w:rPr>
        <w:t>совместный контроль;</w:t>
      </w:r>
    </w:p>
    <w:p w:rsidR="00000000" w:rsidRDefault="00750FBD">
      <w:pPr>
        <w:pStyle w:val="IASBNormal"/>
        <w:ind w:left="1560" w:hanging="780"/>
      </w:pPr>
      <w:r>
        <w:rPr>
          <w:sz w:val="24"/>
          <w:szCs w:val="24"/>
        </w:rPr>
        <w:t>•            совместное предприятие;</w:t>
      </w:r>
    </w:p>
    <w:p w:rsidR="00000000" w:rsidRDefault="00750FBD">
      <w:pPr>
        <w:pStyle w:val="IASBNormal"/>
        <w:ind w:left="1560" w:hanging="780"/>
      </w:pPr>
      <w:r>
        <w:rPr>
          <w:sz w:val="24"/>
          <w:szCs w:val="24"/>
        </w:rPr>
        <w:t>•            участник совместного предприятия;</w:t>
      </w:r>
    </w:p>
    <w:p w:rsidR="00000000" w:rsidRDefault="00750FBD">
      <w:pPr>
        <w:pStyle w:val="IASBNormal"/>
        <w:ind w:left="1560" w:hanging="780"/>
      </w:pPr>
      <w:r>
        <w:rPr>
          <w:sz w:val="24"/>
          <w:szCs w:val="24"/>
        </w:rPr>
        <w:t>•            материнская организация;</w:t>
      </w:r>
    </w:p>
    <w:p w:rsidR="00000000" w:rsidRDefault="00750FBD">
      <w:pPr>
        <w:pStyle w:val="IASBNormal"/>
        <w:ind w:left="1560" w:hanging="780"/>
      </w:pPr>
      <w:r>
        <w:rPr>
          <w:sz w:val="24"/>
          <w:szCs w:val="24"/>
        </w:rPr>
        <w:t>•            значительное влияние;</w:t>
      </w:r>
    </w:p>
    <w:p w:rsidR="00000000" w:rsidRDefault="00750FBD">
      <w:pPr>
        <w:pStyle w:val="IASBNormal"/>
        <w:ind w:left="1560" w:hanging="780"/>
      </w:pPr>
      <w:r>
        <w:rPr>
          <w:sz w:val="24"/>
          <w:szCs w:val="24"/>
        </w:rPr>
        <w:t>•            дочерняя организация.</w:t>
      </w:r>
    </w:p>
    <w:p w:rsidR="00000000" w:rsidRDefault="00750FBD">
      <w:pPr>
        <w:pStyle w:val="IASBNormal"/>
        <w:ind w:left="780" w:hanging="780"/>
      </w:pPr>
      <w:r>
        <w:rPr>
          <w:sz w:val="24"/>
          <w:szCs w:val="24"/>
        </w:rPr>
        <w:t xml:space="preserve">6.           </w:t>
      </w:r>
      <w:r>
        <w:rPr>
          <w:sz w:val="24"/>
          <w:szCs w:val="24"/>
        </w:rPr>
        <w:t xml:space="preserve">Отдельная финансовая отчетность - финансовая отчетность, которая в случаях, отличных от изложенных в </w:t>
      </w:r>
      <w:hyperlink w:anchor="sub800" w:history="1">
        <w:r>
          <w:rPr>
            <w:rStyle w:val="a3"/>
            <w:sz w:val="24"/>
            <w:szCs w:val="24"/>
          </w:rPr>
          <w:t>пунктах 8-8A</w:t>
        </w:r>
      </w:hyperlink>
      <w:r>
        <w:rPr>
          <w:sz w:val="24"/>
          <w:szCs w:val="24"/>
        </w:rPr>
        <w:t>, представляется в дополнение к консолидированной финансовой отчетности или к финансовой отчетности, в которой инв</w:t>
      </w:r>
      <w:r>
        <w:rPr>
          <w:sz w:val="24"/>
          <w:szCs w:val="24"/>
        </w:rPr>
        <w:t>естиции в ассоциированные организации или совместные предприятия учитываются по методу долевого участия. Отдельную финансовую отчетность не требуется прилагать к указанной финансовой отчетности или включать в сопровождение к ней.</w:t>
      </w:r>
    </w:p>
    <w:p w:rsidR="00000000" w:rsidRDefault="00750FBD">
      <w:pPr>
        <w:pStyle w:val="IASBNormal"/>
        <w:ind w:left="780" w:hanging="780"/>
      </w:pPr>
      <w:r>
        <w:rPr>
          <w:sz w:val="24"/>
          <w:szCs w:val="24"/>
        </w:rPr>
        <w:t>7.           Финансовая от</w:t>
      </w:r>
      <w:r>
        <w:rPr>
          <w:sz w:val="24"/>
          <w:szCs w:val="24"/>
        </w:rPr>
        <w:t>четность, составленная с использованием метода долевого участия, не является отдельной финансовой отчетностью. Аналогично финансовая отчетность организации, не имеющей ни дочерних организаций, ни ассоциированных организаций и не являющейся участником совме</w:t>
      </w:r>
      <w:r>
        <w:rPr>
          <w:sz w:val="24"/>
          <w:szCs w:val="24"/>
        </w:rPr>
        <w:t>стных предприятий, не является отдельной финансовой отчетностью.</w:t>
      </w:r>
    </w:p>
    <w:p w:rsidR="00000000" w:rsidRDefault="00750FBD">
      <w:pPr>
        <w:pStyle w:val="IASBNormal"/>
        <w:ind w:left="780" w:hanging="780"/>
      </w:pPr>
      <w:bookmarkStart w:id="2" w:name="SUB800"/>
      <w:bookmarkEnd w:id="2"/>
      <w:r>
        <w:rPr>
          <w:sz w:val="24"/>
          <w:szCs w:val="24"/>
        </w:rPr>
        <w:t xml:space="preserve">8.           Организация, освобожденная от консолидации в соответствии с </w:t>
      </w:r>
      <w:hyperlink r:id="rId13" w:anchor="sub_id=400" w:history="1">
        <w:r>
          <w:rPr>
            <w:rStyle w:val="a3"/>
            <w:sz w:val="24"/>
            <w:szCs w:val="24"/>
          </w:rPr>
          <w:t>пунктом 4(a)</w:t>
        </w:r>
      </w:hyperlink>
      <w:r>
        <w:rPr>
          <w:sz w:val="24"/>
          <w:szCs w:val="24"/>
        </w:rPr>
        <w:t xml:space="preserve"> МСФО (IFRS) 10 или от пр</w:t>
      </w:r>
      <w:r>
        <w:rPr>
          <w:sz w:val="24"/>
          <w:szCs w:val="24"/>
        </w:rPr>
        <w:t xml:space="preserve">именения метода долевого участия в соответствии с </w:t>
      </w:r>
      <w:hyperlink r:id="rId14" w:anchor="sub_id=1700" w:history="1">
        <w:r>
          <w:rPr>
            <w:rStyle w:val="a3"/>
            <w:sz w:val="24"/>
            <w:szCs w:val="24"/>
          </w:rPr>
          <w:t>пунктом 17</w:t>
        </w:r>
      </w:hyperlink>
      <w:r>
        <w:rPr>
          <w:sz w:val="24"/>
          <w:szCs w:val="24"/>
        </w:rPr>
        <w:t xml:space="preserve"> МСФО (IAS) 28 (с учтем поправок 2011 года), может представлять отдельную финансовую отчетность в качестве своей е</w:t>
      </w:r>
      <w:r>
        <w:rPr>
          <w:sz w:val="24"/>
          <w:szCs w:val="24"/>
        </w:rPr>
        <w:t>динственной финансовой отчетности.</w:t>
      </w:r>
    </w:p>
    <w:p w:rsidR="00000000" w:rsidRDefault="00750FBD">
      <w:pPr>
        <w:pStyle w:val="IASBNormalnpara"/>
      </w:pPr>
      <w:bookmarkStart w:id="3" w:name="SUB80100"/>
      <w:bookmarkEnd w:id="3"/>
      <w:r>
        <w:rPr>
          <w:sz w:val="24"/>
          <w:szCs w:val="24"/>
        </w:rPr>
        <w:t>8A        Инвестиционная организация, которая обязана в течение всего текущего периода и всех представленных сравнительных периодов применять исключение из требования о консолидации в отношении всех своих дочерних организ</w:t>
      </w:r>
      <w:r>
        <w:rPr>
          <w:sz w:val="24"/>
          <w:szCs w:val="24"/>
        </w:rPr>
        <w:t xml:space="preserve">аций согласно </w:t>
      </w:r>
      <w:hyperlink r:id="rId15" w:anchor="sub_id=3100" w:history="1">
        <w:r>
          <w:rPr>
            <w:rStyle w:val="a3"/>
            <w:sz w:val="24"/>
            <w:szCs w:val="24"/>
          </w:rPr>
          <w:t>пункту 31</w:t>
        </w:r>
      </w:hyperlink>
      <w:r>
        <w:rPr>
          <w:sz w:val="24"/>
          <w:szCs w:val="24"/>
        </w:rPr>
        <w:t xml:space="preserve"> МСФО (IFRS) 10, представляет отдельную финансовую отчетность как свою единственную финансовую отчетность.</w:t>
      </w:r>
    </w:p>
    <w:p w:rsidR="00000000" w:rsidRDefault="00750FBD">
      <w:pPr>
        <w:pStyle w:val="IASBSectionTitleU"/>
      </w:pPr>
      <w:r>
        <w:rPr>
          <w:rFonts w:ascii="Times New Roman" w:hAnsi="Times New Roman" w:cs="Times New Roman"/>
          <w:sz w:val="24"/>
          <w:szCs w:val="24"/>
        </w:rPr>
        <w:t>Подготовка отдельной финансовой отчетности</w:t>
      </w:r>
    </w:p>
    <w:p w:rsidR="00000000" w:rsidRDefault="00750FBD">
      <w:pPr>
        <w:pStyle w:val="IASBPrinciple"/>
        <w:ind w:left="780" w:hanging="780"/>
      </w:pPr>
      <w:r>
        <w:rPr>
          <w:sz w:val="24"/>
          <w:szCs w:val="24"/>
        </w:rPr>
        <w:t>9</w:t>
      </w:r>
      <w:r>
        <w:rPr>
          <w:sz w:val="24"/>
          <w:szCs w:val="24"/>
        </w:rPr>
        <w:t>.           Отдельная финансовая отчетность должна подготавливаться в соответствии со всеми применимыми МСФО, с учетом исключения, указанного в пункте 10.</w:t>
      </w:r>
    </w:p>
    <w:p w:rsidR="00000000" w:rsidRDefault="00750FBD">
      <w:pPr>
        <w:pStyle w:val="IASBPrinciple"/>
        <w:ind w:left="780" w:hanging="780"/>
      </w:pPr>
      <w:bookmarkStart w:id="4" w:name="SUB1000"/>
      <w:bookmarkEnd w:id="4"/>
      <w:r>
        <w:rPr>
          <w:sz w:val="24"/>
          <w:szCs w:val="24"/>
        </w:rPr>
        <w:t xml:space="preserve">10.         При подготовке отдельной финансовой отчетности организация должна учитывать инвестиции в </w:t>
      </w:r>
      <w:r>
        <w:rPr>
          <w:sz w:val="24"/>
          <w:szCs w:val="24"/>
        </w:rPr>
        <w:t>дочерние организации, совместные предприятия и ассоциированные организации:</w:t>
      </w:r>
    </w:p>
    <w:p w:rsidR="00000000" w:rsidRDefault="00750FBD">
      <w:pPr>
        <w:pStyle w:val="IASBPrinciple"/>
        <w:ind w:left="1560" w:hanging="780"/>
      </w:pPr>
      <w:r>
        <w:rPr>
          <w:sz w:val="24"/>
          <w:szCs w:val="24"/>
        </w:rPr>
        <w:t xml:space="preserve">(a)         либо по первоначальной стоимости, </w:t>
      </w:r>
    </w:p>
    <w:p w:rsidR="00000000" w:rsidRDefault="00750FBD">
      <w:pPr>
        <w:pStyle w:val="IASBPrinciple"/>
        <w:ind w:left="1560" w:hanging="780"/>
      </w:pPr>
      <w:r>
        <w:rPr>
          <w:sz w:val="24"/>
          <w:szCs w:val="24"/>
        </w:rPr>
        <w:t xml:space="preserve">(b)        либо в соответствии с </w:t>
      </w:r>
      <w:hyperlink r:id="rId16" w:history="1">
        <w:r>
          <w:rPr>
            <w:rStyle w:val="a3"/>
            <w:b w:val="0"/>
            <w:bCs w:val="0"/>
            <w:sz w:val="24"/>
            <w:szCs w:val="24"/>
          </w:rPr>
          <w:t>МСФО (IFRS) 9</w:t>
        </w:r>
      </w:hyperlink>
      <w:r>
        <w:rPr>
          <w:sz w:val="24"/>
          <w:szCs w:val="24"/>
        </w:rPr>
        <w:t xml:space="preserve">. </w:t>
      </w:r>
    </w:p>
    <w:p w:rsidR="00000000" w:rsidRDefault="00750FBD">
      <w:pPr>
        <w:pStyle w:val="IASBPrinciple"/>
        <w:ind w:left="780"/>
      </w:pPr>
      <w:r>
        <w:rPr>
          <w:sz w:val="24"/>
          <w:szCs w:val="24"/>
        </w:rPr>
        <w:t xml:space="preserve">Организация должна </w:t>
      </w:r>
      <w:r>
        <w:rPr>
          <w:sz w:val="24"/>
          <w:szCs w:val="24"/>
        </w:rPr>
        <w:t xml:space="preserve">применять единый порядок учета для каждой категории инвестиций. Инвестиции, учитываемые по первоначальной стоимости, должны отражаться в соответствии с </w:t>
      </w:r>
      <w:hyperlink r:id="rId17" w:history="1">
        <w:r>
          <w:rPr>
            <w:rStyle w:val="a3"/>
            <w:b w:val="0"/>
            <w:bCs w:val="0"/>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когда они классифицируются как предназначенные для продажи (или включены в выбывающую группу, классифицированную как предназначенная для продажи). Оценка инвестиций, учитываем</w:t>
      </w:r>
      <w:r>
        <w:rPr>
          <w:sz w:val="24"/>
          <w:szCs w:val="24"/>
        </w:rPr>
        <w:t xml:space="preserve">ых в соответствии с </w:t>
      </w:r>
      <w:hyperlink r:id="rId18" w:history="1">
        <w:r>
          <w:rPr>
            <w:rStyle w:val="a3"/>
            <w:b w:val="0"/>
            <w:bCs w:val="0"/>
            <w:sz w:val="24"/>
            <w:szCs w:val="24"/>
          </w:rPr>
          <w:t>МСФО (IFRS) 9</w:t>
        </w:r>
      </w:hyperlink>
      <w:r>
        <w:rPr>
          <w:sz w:val="24"/>
          <w:szCs w:val="24"/>
        </w:rPr>
        <w:t>, в данных обстоятельствах не изменяется.</w:t>
      </w:r>
    </w:p>
    <w:p w:rsidR="00000000" w:rsidRDefault="00750FBD">
      <w:pPr>
        <w:pStyle w:val="IASBNormal"/>
        <w:ind w:left="780" w:hanging="780"/>
      </w:pPr>
      <w:r>
        <w:rPr>
          <w:sz w:val="24"/>
          <w:szCs w:val="24"/>
        </w:rPr>
        <w:t xml:space="preserve">11.         Если организация делает выбор в соответствии с </w:t>
      </w:r>
      <w:hyperlink r:id="rId19" w:anchor="sub_id=1800" w:history="1">
        <w:r>
          <w:rPr>
            <w:rStyle w:val="a3"/>
            <w:sz w:val="24"/>
            <w:szCs w:val="24"/>
          </w:rPr>
          <w:t>пунктом 18</w:t>
        </w:r>
      </w:hyperlink>
      <w:r>
        <w:rPr>
          <w:sz w:val="24"/>
          <w:szCs w:val="24"/>
        </w:rPr>
        <w:t xml:space="preserve"> МСФО (IAS) 28 (с учетом поправок 2011 года) оценивать инвестиции в ассоциированные организации или совместные предприятия по справедливой стоимости через прибыль или убыток в соответствии с </w:t>
      </w:r>
      <w:hyperlink r:id="rId20" w:history="1">
        <w:r>
          <w:rPr>
            <w:rStyle w:val="a3"/>
            <w:sz w:val="24"/>
            <w:szCs w:val="24"/>
          </w:rPr>
          <w:t>МСФО (IFRS) 9</w:t>
        </w:r>
      </w:hyperlink>
      <w:r>
        <w:rPr>
          <w:sz w:val="24"/>
          <w:szCs w:val="24"/>
        </w:rPr>
        <w:t>, то она должна учитывать эти инвестиции таким же образом в отдельной финансовой отчетности.</w:t>
      </w:r>
    </w:p>
    <w:p w:rsidR="00000000" w:rsidRDefault="00750FBD">
      <w:pPr>
        <w:pStyle w:val="IASBNormalnpara"/>
      </w:pPr>
      <w:bookmarkStart w:id="5" w:name="SUB110100"/>
      <w:bookmarkEnd w:id="5"/>
      <w:r>
        <w:rPr>
          <w:sz w:val="24"/>
          <w:szCs w:val="24"/>
        </w:rPr>
        <w:t xml:space="preserve">11A      Если согласно </w:t>
      </w:r>
      <w:hyperlink r:id="rId21" w:anchor="sub_id=3100" w:history="1">
        <w:r>
          <w:rPr>
            <w:rStyle w:val="a3"/>
            <w:sz w:val="24"/>
            <w:szCs w:val="24"/>
          </w:rPr>
          <w:t>пункту 31</w:t>
        </w:r>
      </w:hyperlink>
      <w:r>
        <w:rPr>
          <w:sz w:val="24"/>
          <w:szCs w:val="24"/>
        </w:rPr>
        <w:t xml:space="preserve"> </w:t>
      </w:r>
      <w:r>
        <w:rPr>
          <w:sz w:val="24"/>
          <w:szCs w:val="24"/>
        </w:rPr>
        <w:t xml:space="preserve">МСФО (IFRS) 10 материнская организация обязана оценивать свою инвестицию в дочернюю организацию по справедливой стоимости через прибыль или убыток в соответствии с </w:t>
      </w:r>
      <w:hyperlink r:id="rId22" w:history="1">
        <w:r>
          <w:rPr>
            <w:rStyle w:val="a3"/>
            <w:sz w:val="24"/>
            <w:szCs w:val="24"/>
          </w:rPr>
          <w:t>МСФО (IFRS) 9</w:t>
        </w:r>
      </w:hyperlink>
      <w:r>
        <w:rPr>
          <w:sz w:val="24"/>
          <w:szCs w:val="24"/>
        </w:rPr>
        <w:t>, то она должн</w:t>
      </w:r>
      <w:r>
        <w:rPr>
          <w:sz w:val="24"/>
          <w:szCs w:val="24"/>
        </w:rPr>
        <w:t>а таким же образом учитывать ее в отдельной финансовой отчетности.</w:t>
      </w:r>
    </w:p>
    <w:p w:rsidR="00000000" w:rsidRDefault="00750FBD">
      <w:pPr>
        <w:pStyle w:val="IASBNormalnpara"/>
      </w:pPr>
      <w:r>
        <w:rPr>
          <w:sz w:val="24"/>
          <w:szCs w:val="24"/>
        </w:rPr>
        <w:t>11B      Если материнская организация перестает быть инвестиционной организацией либо становится инвестиционной организацией, то она должна учитывать данное изменение с той даты, когда прои</w:t>
      </w:r>
      <w:r>
        <w:rPr>
          <w:sz w:val="24"/>
          <w:szCs w:val="24"/>
        </w:rPr>
        <w:t>зошло изменение ее статуса, следующим образом:</w:t>
      </w:r>
    </w:p>
    <w:p w:rsidR="00000000" w:rsidRDefault="00750FBD">
      <w:pPr>
        <w:pStyle w:val="IASBNormalnparaL1"/>
      </w:pPr>
      <w:r>
        <w:rPr>
          <w:sz w:val="24"/>
          <w:szCs w:val="24"/>
        </w:rPr>
        <w:t>(a)         если организация перестает быть инвестиционной организацией, то данная организация должна в соответствии с пунктом 10:</w:t>
      </w:r>
    </w:p>
    <w:p w:rsidR="00000000" w:rsidRDefault="00750FBD">
      <w:pPr>
        <w:pStyle w:val="IASBNormalnparaL2"/>
      </w:pPr>
      <w:r>
        <w:rPr>
          <w:sz w:val="24"/>
          <w:szCs w:val="24"/>
        </w:rPr>
        <w:t>(i)          либо учитывать инвестицию в дочернюю организацию по первоначально</w:t>
      </w:r>
      <w:r>
        <w:rPr>
          <w:sz w:val="24"/>
          <w:szCs w:val="24"/>
        </w:rPr>
        <w:t xml:space="preserve">й стоимости. В качестве условной первоначальной стоимости на дату изменения статуса организации должна использоваться справедливая стоимость дочерней организации на эту дату; </w:t>
      </w:r>
    </w:p>
    <w:p w:rsidR="00000000" w:rsidRDefault="00750FBD">
      <w:pPr>
        <w:pStyle w:val="IASBNormalnparaL2"/>
      </w:pPr>
      <w:r>
        <w:rPr>
          <w:sz w:val="24"/>
          <w:szCs w:val="24"/>
        </w:rPr>
        <w:t>(ii)         либо продолжать учитывать инвестицию в дочернюю организацию согласн</w:t>
      </w:r>
      <w:r>
        <w:rPr>
          <w:sz w:val="24"/>
          <w:szCs w:val="24"/>
        </w:rPr>
        <w:t xml:space="preserve">о </w:t>
      </w:r>
      <w:hyperlink r:id="rId23" w:history="1">
        <w:r>
          <w:rPr>
            <w:rStyle w:val="a3"/>
            <w:sz w:val="24"/>
            <w:szCs w:val="24"/>
          </w:rPr>
          <w:t>МСФО (IFRS) 9</w:t>
        </w:r>
      </w:hyperlink>
      <w:r>
        <w:rPr>
          <w:sz w:val="24"/>
          <w:szCs w:val="24"/>
        </w:rPr>
        <w:t>;</w:t>
      </w:r>
    </w:p>
    <w:p w:rsidR="00000000" w:rsidRDefault="00750FBD">
      <w:pPr>
        <w:pStyle w:val="IASBNormalnparaL1"/>
      </w:pPr>
      <w:r>
        <w:rPr>
          <w:sz w:val="24"/>
          <w:szCs w:val="24"/>
        </w:rPr>
        <w:t>(b)         если организация становится инвестиционной организацией, она должна учитывать инвестицию в дочернюю организацию по справедливой стоимости через прибыль или убыток</w:t>
      </w:r>
      <w:r>
        <w:rPr>
          <w:sz w:val="24"/>
          <w:szCs w:val="24"/>
        </w:rPr>
        <w:t xml:space="preserve"> в соответствии с МСФО (IFRS) 9. Разница между предыдущим значением балансовой стоимости дочерней организации и ее справедливой стоимостью на дату изменения статуса инвестора должна признаваться как результат (положительный или отрицательный) в составе при</w:t>
      </w:r>
      <w:r>
        <w:rPr>
          <w:sz w:val="24"/>
          <w:szCs w:val="24"/>
        </w:rPr>
        <w:t>были или убытка. Накопленная сумма корректировок справедливой стоимости в отношении таких дочерних организаций, ранее отраженных в составе прочего совокупного дохода, должна учитываться, как если бы у инвестиционной организации эти дочерние организации выб</w:t>
      </w:r>
      <w:r>
        <w:rPr>
          <w:sz w:val="24"/>
          <w:szCs w:val="24"/>
        </w:rPr>
        <w:t>ывали на дату изменения статуса.</w:t>
      </w:r>
    </w:p>
    <w:p w:rsidR="00000000" w:rsidRDefault="00750FBD">
      <w:pPr>
        <w:pStyle w:val="IASBPrinciple"/>
        <w:ind w:left="780" w:hanging="780"/>
      </w:pPr>
      <w:r>
        <w:rPr>
          <w:sz w:val="24"/>
          <w:szCs w:val="24"/>
        </w:rPr>
        <w:t>12.         Организация должна признавать дивиденды, полученные от дочерней организации, совместного предприятия или ассоциированной организации, в составе прибыли или убытка в отдельной финансовой отчетности в момент устан</w:t>
      </w:r>
      <w:r>
        <w:rPr>
          <w:sz w:val="24"/>
          <w:szCs w:val="24"/>
        </w:rPr>
        <w:t>овления права организации на получение дивидендов.</w:t>
      </w:r>
    </w:p>
    <w:p w:rsidR="00000000" w:rsidRDefault="00750FBD">
      <w:pPr>
        <w:pStyle w:val="IASBNormal"/>
        <w:ind w:left="780" w:hanging="780"/>
      </w:pPr>
      <w:bookmarkStart w:id="6" w:name="SUB1300"/>
      <w:bookmarkEnd w:id="6"/>
      <w:r>
        <w:rPr>
          <w:sz w:val="24"/>
          <w:szCs w:val="24"/>
        </w:rPr>
        <w:t>13.         Когда материнская организация реорганизовывает структуру своей группы, учреждая новую организацию в качестве своей материнской организации таким образом, что соблюдаются следующие критерии:</w:t>
      </w:r>
    </w:p>
    <w:p w:rsidR="00000000" w:rsidRDefault="00750FBD">
      <w:pPr>
        <w:pStyle w:val="IASBNormal"/>
        <w:ind w:left="1560" w:hanging="780"/>
      </w:pPr>
      <w:r>
        <w:rPr>
          <w:sz w:val="24"/>
          <w:szCs w:val="24"/>
        </w:rPr>
        <w:t>(a)</w:t>
      </w:r>
      <w:r>
        <w:rPr>
          <w:sz w:val="24"/>
          <w:szCs w:val="24"/>
        </w:rPr>
        <w:t>         новая материнская организация получает контроль над первоначальной материнской организацией путем выпуска долевых инструментов в обмен на существующие долевые инструменты первоначальной материнской организации;</w:t>
      </w:r>
    </w:p>
    <w:p w:rsidR="00000000" w:rsidRDefault="00750FBD">
      <w:pPr>
        <w:pStyle w:val="IASBNormal"/>
        <w:ind w:left="1560" w:hanging="780"/>
      </w:pPr>
      <w:r>
        <w:rPr>
          <w:sz w:val="24"/>
          <w:szCs w:val="24"/>
        </w:rPr>
        <w:t>(b)         активы и обязательства н</w:t>
      </w:r>
      <w:r>
        <w:rPr>
          <w:sz w:val="24"/>
          <w:szCs w:val="24"/>
        </w:rPr>
        <w:t>овой группы и первоначальной группы остаются одинаковыми непосредственно до и после реорганизации; и</w:t>
      </w:r>
    </w:p>
    <w:p w:rsidR="00000000" w:rsidRDefault="00750FBD">
      <w:pPr>
        <w:pStyle w:val="IASBNormal"/>
        <w:ind w:left="1560" w:hanging="780"/>
      </w:pPr>
      <w:r>
        <w:rPr>
          <w:sz w:val="24"/>
          <w:szCs w:val="24"/>
        </w:rPr>
        <w:t>(c)         собственники первоначальной материнской организации до реорганизации имеют одинаковые абсолютные и относительные доли в чистых активах первонач</w:t>
      </w:r>
      <w:r>
        <w:rPr>
          <w:sz w:val="24"/>
          <w:szCs w:val="24"/>
        </w:rPr>
        <w:t>альной группы и новой группы непосредственно до и после реорганизации,</w:t>
      </w:r>
    </w:p>
    <w:p w:rsidR="00000000" w:rsidRDefault="00750FBD">
      <w:pPr>
        <w:pStyle w:val="IASBNormal"/>
        <w:ind w:left="780"/>
      </w:pPr>
      <w:r>
        <w:rPr>
          <w:sz w:val="24"/>
          <w:szCs w:val="24"/>
        </w:rPr>
        <w:t xml:space="preserve">а новая материнская организация учитывает свои инвестиции в первоначальную материнскую организацию в соответствии с </w:t>
      </w:r>
      <w:hyperlink w:anchor="sub1000" w:history="1">
        <w:r>
          <w:rPr>
            <w:rStyle w:val="a3"/>
            <w:sz w:val="24"/>
            <w:szCs w:val="24"/>
          </w:rPr>
          <w:t>пунктом 10(a)</w:t>
        </w:r>
      </w:hyperlink>
      <w:r>
        <w:rPr>
          <w:sz w:val="24"/>
          <w:szCs w:val="24"/>
        </w:rPr>
        <w:t xml:space="preserve"> в своей отдельной финансо</w:t>
      </w:r>
      <w:r>
        <w:rPr>
          <w:sz w:val="24"/>
          <w:szCs w:val="24"/>
        </w:rPr>
        <w:t>вой отчетности, новая материнская организация должна оценить первоначальную стоимость в размере балансовой стоимости своей доли в статьях собственного капитала, признанную в отдельной финансовой отчетности первоначальной материнской организации на дату рео</w:t>
      </w:r>
      <w:r>
        <w:rPr>
          <w:sz w:val="24"/>
          <w:szCs w:val="24"/>
        </w:rPr>
        <w:t>рганизации.</w:t>
      </w:r>
    </w:p>
    <w:p w:rsidR="00000000" w:rsidRDefault="00750FBD">
      <w:pPr>
        <w:pStyle w:val="IASBNormal"/>
        <w:ind w:left="780" w:hanging="780"/>
      </w:pPr>
      <w:r>
        <w:rPr>
          <w:sz w:val="24"/>
          <w:szCs w:val="24"/>
        </w:rPr>
        <w:t xml:space="preserve">14.         Аналогично организация, не являющаяся материнской организацией, может учредить новую организацию в качестве своей материнской организации таким образом, чтобы соблюдались критерии, указанные в </w:t>
      </w:r>
      <w:hyperlink w:anchor="sub1300" w:history="1">
        <w:r>
          <w:rPr>
            <w:rStyle w:val="a3"/>
            <w:sz w:val="24"/>
            <w:szCs w:val="24"/>
          </w:rPr>
          <w:t>пункте 13</w:t>
        </w:r>
      </w:hyperlink>
      <w:r>
        <w:rPr>
          <w:sz w:val="24"/>
          <w:szCs w:val="24"/>
        </w:rPr>
        <w:t xml:space="preserve">. Требования </w:t>
      </w:r>
      <w:hyperlink w:anchor="sub1300" w:history="1">
        <w:r>
          <w:rPr>
            <w:rStyle w:val="a3"/>
            <w:sz w:val="24"/>
            <w:szCs w:val="24"/>
          </w:rPr>
          <w:t>пункта 13</w:t>
        </w:r>
      </w:hyperlink>
      <w:r>
        <w:rPr>
          <w:sz w:val="24"/>
          <w:szCs w:val="24"/>
        </w:rPr>
        <w:t xml:space="preserve"> применяются к таким видам реорганизации в равной степени. В этих случаях термины «первоначальная материнская организация» и «первоначальная группа» подразумевают «первоначальную организацию».</w:t>
      </w:r>
    </w:p>
    <w:p w:rsidR="00000000" w:rsidRDefault="00750FBD">
      <w:pPr>
        <w:pStyle w:val="IASBSectionTitleU"/>
      </w:pPr>
      <w:r>
        <w:rPr>
          <w:rFonts w:ascii="Times New Roman" w:hAnsi="Times New Roman" w:cs="Times New Roman"/>
          <w:sz w:val="24"/>
          <w:szCs w:val="24"/>
        </w:rPr>
        <w:t>Раскрытие информации</w:t>
      </w:r>
    </w:p>
    <w:p w:rsidR="00000000" w:rsidRDefault="00750FBD">
      <w:pPr>
        <w:pStyle w:val="IASBPrinciple"/>
        <w:ind w:left="780" w:hanging="780"/>
      </w:pPr>
      <w:r>
        <w:rPr>
          <w:sz w:val="24"/>
          <w:szCs w:val="24"/>
        </w:rPr>
        <w:t xml:space="preserve">15.         Организация должна учитывать все применимые МСФО при раскрытии информации в отдельной финансовой отчетности, включая требования </w:t>
      </w:r>
      <w:hyperlink w:anchor="sub1600" w:history="1">
        <w:r>
          <w:rPr>
            <w:rStyle w:val="a3"/>
            <w:b w:val="0"/>
            <w:bCs w:val="0"/>
            <w:sz w:val="24"/>
            <w:szCs w:val="24"/>
          </w:rPr>
          <w:t>пунктов 16-17.</w:t>
        </w:r>
      </w:hyperlink>
    </w:p>
    <w:p w:rsidR="00000000" w:rsidRDefault="00750FBD">
      <w:pPr>
        <w:pStyle w:val="IASBPrinciple"/>
        <w:ind w:left="780" w:hanging="780"/>
      </w:pPr>
      <w:bookmarkStart w:id="7" w:name="SUB1600"/>
      <w:bookmarkEnd w:id="7"/>
      <w:r>
        <w:rPr>
          <w:sz w:val="24"/>
          <w:szCs w:val="24"/>
        </w:rPr>
        <w:t>16.         Когда материнская организация, в соотв</w:t>
      </w:r>
      <w:r>
        <w:rPr>
          <w:sz w:val="24"/>
          <w:szCs w:val="24"/>
        </w:rPr>
        <w:t xml:space="preserve">етствии с </w:t>
      </w:r>
      <w:hyperlink r:id="rId24" w:anchor="sub_id=400" w:history="1">
        <w:r>
          <w:rPr>
            <w:rStyle w:val="a3"/>
            <w:b w:val="0"/>
            <w:bCs w:val="0"/>
            <w:sz w:val="24"/>
            <w:szCs w:val="24"/>
          </w:rPr>
          <w:t>пунктом 4(a)</w:t>
        </w:r>
      </w:hyperlink>
      <w:r>
        <w:rPr>
          <w:sz w:val="24"/>
          <w:szCs w:val="24"/>
        </w:rPr>
        <w:t xml:space="preserve"> МСФО (IFRS) 10, делает выбор не представлять консолидированную финансовую отчетность, а вместо нее подготовить отдельную финансовую отчетность, организа</w:t>
      </w:r>
      <w:r>
        <w:rPr>
          <w:sz w:val="24"/>
          <w:szCs w:val="24"/>
        </w:rPr>
        <w:t>ция должна раскрывать в упомянутой отдельной финансовой отчетности следующее:</w:t>
      </w:r>
    </w:p>
    <w:p w:rsidR="00000000" w:rsidRDefault="00750FBD">
      <w:pPr>
        <w:pStyle w:val="IASBPrinciple"/>
        <w:ind w:left="1560" w:hanging="780"/>
      </w:pPr>
      <w:r>
        <w:rPr>
          <w:sz w:val="24"/>
          <w:szCs w:val="24"/>
        </w:rPr>
        <w:t>(a)         факт, что данная отчетность является отдельной финансовой отчетностью и что организация воспользовалась освобождением от консолидации; название и место ведения основн</w:t>
      </w:r>
      <w:r>
        <w:rPr>
          <w:sz w:val="24"/>
          <w:szCs w:val="24"/>
        </w:rPr>
        <w:t>ой деятельности (а также страну юридической регистрации, если она отличается от места ведения основной деятельности) организации, которая представила соответствующую Международным стандартам финансовой отчетности консолидированную финансовую отчетность, до</w:t>
      </w:r>
      <w:r>
        <w:rPr>
          <w:sz w:val="24"/>
          <w:szCs w:val="24"/>
        </w:rPr>
        <w:t xml:space="preserve">ступную для публичного использования, а также адрес, по которому можно получить такую консолидированную финансовую отчетность; </w:t>
      </w:r>
    </w:p>
    <w:p w:rsidR="00000000" w:rsidRDefault="00750FBD">
      <w:pPr>
        <w:pStyle w:val="IASBPrinciple"/>
        <w:ind w:left="1560" w:hanging="780"/>
      </w:pPr>
      <w:r>
        <w:rPr>
          <w:sz w:val="24"/>
          <w:szCs w:val="24"/>
        </w:rPr>
        <w:t>(b)        перечень значительных инвестиций в дочерние организации, совместные предприятия и ассоциированные организации, включа</w:t>
      </w:r>
      <w:r>
        <w:rPr>
          <w:sz w:val="24"/>
          <w:szCs w:val="24"/>
        </w:rPr>
        <w:t>я:</w:t>
      </w:r>
    </w:p>
    <w:p w:rsidR="00000000" w:rsidRDefault="00750FBD">
      <w:pPr>
        <w:pStyle w:val="IASBPrinciple"/>
        <w:ind w:left="2340" w:hanging="780"/>
      </w:pPr>
      <w:r>
        <w:rPr>
          <w:sz w:val="24"/>
          <w:szCs w:val="24"/>
        </w:rPr>
        <w:t>(i)          название объектов инвестиций;</w:t>
      </w:r>
    </w:p>
    <w:p w:rsidR="00000000" w:rsidRDefault="00750FBD">
      <w:pPr>
        <w:pStyle w:val="IASBPrinciple"/>
        <w:ind w:left="2340" w:hanging="780"/>
      </w:pPr>
      <w:r>
        <w:rPr>
          <w:sz w:val="24"/>
          <w:szCs w:val="24"/>
        </w:rPr>
        <w:t>(ii)         место ведения основной деятельности (и страну юридической регистрации, если она отличается от места ведения основной деятельности) объектов инвестиций;</w:t>
      </w:r>
    </w:p>
    <w:p w:rsidR="00000000" w:rsidRDefault="00750FBD">
      <w:pPr>
        <w:pStyle w:val="IASBPrinciple"/>
        <w:ind w:left="2340" w:hanging="780"/>
      </w:pPr>
      <w:r>
        <w:rPr>
          <w:sz w:val="24"/>
          <w:szCs w:val="24"/>
        </w:rPr>
        <w:t xml:space="preserve">(iii)        свою долю владения (и долю прав </w:t>
      </w:r>
      <w:r>
        <w:rPr>
          <w:sz w:val="24"/>
          <w:szCs w:val="24"/>
        </w:rPr>
        <w:t>голоса, если она отличается от доли владения) в этих объектах инвестиций;</w:t>
      </w:r>
    </w:p>
    <w:p w:rsidR="00000000" w:rsidRDefault="00750FBD">
      <w:pPr>
        <w:pStyle w:val="IASBPrinciple"/>
        <w:ind w:left="1560" w:hanging="780"/>
      </w:pPr>
      <w:r>
        <w:rPr>
          <w:sz w:val="24"/>
          <w:szCs w:val="24"/>
        </w:rPr>
        <w:t>(c)         описание примененного метода учета инвестиций, указанных в подпункте (b).</w:t>
      </w:r>
    </w:p>
    <w:p w:rsidR="00000000" w:rsidRDefault="00750FBD">
      <w:pPr>
        <w:pStyle w:val="IASBNormalnpara"/>
      </w:pPr>
      <w:bookmarkStart w:id="8" w:name="SUB160100"/>
      <w:bookmarkEnd w:id="8"/>
      <w:r>
        <w:rPr>
          <w:b/>
          <w:bCs/>
          <w:sz w:val="24"/>
          <w:szCs w:val="24"/>
        </w:rPr>
        <w:t>16A      Если инвестиционная организация, являющаяся материнской организацией (кроме материнской</w:t>
      </w:r>
      <w:r>
        <w:rPr>
          <w:b/>
          <w:bCs/>
          <w:sz w:val="24"/>
          <w:szCs w:val="24"/>
        </w:rPr>
        <w:t xml:space="preserve"> организации, указанной в </w:t>
      </w:r>
      <w:hyperlink w:anchor="sub1600" w:history="1">
        <w:r>
          <w:rPr>
            <w:rStyle w:val="a3"/>
            <w:sz w:val="24"/>
            <w:szCs w:val="24"/>
          </w:rPr>
          <w:t>пункте 16</w:t>
        </w:r>
      </w:hyperlink>
      <w:r>
        <w:rPr>
          <w:b/>
          <w:bCs/>
          <w:sz w:val="24"/>
          <w:szCs w:val="24"/>
        </w:rPr>
        <w:t xml:space="preserve">), составляет согласно </w:t>
      </w:r>
      <w:hyperlink w:anchor="sub80100" w:history="1">
        <w:r>
          <w:rPr>
            <w:rStyle w:val="a3"/>
            <w:sz w:val="24"/>
            <w:szCs w:val="24"/>
          </w:rPr>
          <w:t>пункту 8А</w:t>
        </w:r>
      </w:hyperlink>
      <w:r>
        <w:rPr>
          <w:b/>
          <w:bCs/>
          <w:sz w:val="24"/>
          <w:szCs w:val="24"/>
        </w:rPr>
        <w:t xml:space="preserve"> отдельную финансовую отчетность в качестве своей единственной финансовой отчетности, она должна раскрыть этот факт. Инвестицион</w:t>
      </w:r>
      <w:r>
        <w:rPr>
          <w:b/>
          <w:bCs/>
          <w:sz w:val="24"/>
          <w:szCs w:val="24"/>
        </w:rPr>
        <w:t xml:space="preserve">ная организация также должна представить раскрытия, относящиеся к инвестиционным организациям, которые требуются согласно </w:t>
      </w:r>
      <w:hyperlink r:id="rId25" w:history="1">
        <w:r>
          <w:rPr>
            <w:rStyle w:val="a3"/>
            <w:sz w:val="24"/>
            <w:szCs w:val="24"/>
          </w:rPr>
          <w:t>МСФО (IFRS) 12</w:t>
        </w:r>
      </w:hyperlink>
      <w:r>
        <w:rPr>
          <w:b/>
          <w:bCs/>
          <w:sz w:val="24"/>
          <w:szCs w:val="24"/>
        </w:rPr>
        <w:t xml:space="preserve"> </w:t>
      </w:r>
      <w:r>
        <w:rPr>
          <w:b/>
          <w:bCs/>
          <w:i/>
          <w:iCs/>
          <w:sz w:val="24"/>
          <w:szCs w:val="24"/>
        </w:rPr>
        <w:t>«Раскрытие информации об участии в других организациях</w:t>
      </w:r>
      <w:r>
        <w:rPr>
          <w:b/>
          <w:bCs/>
          <w:i/>
          <w:iCs/>
          <w:sz w:val="24"/>
          <w:szCs w:val="24"/>
        </w:rPr>
        <w:t>»</w:t>
      </w:r>
      <w:r>
        <w:rPr>
          <w:b/>
          <w:bCs/>
          <w:sz w:val="24"/>
          <w:szCs w:val="24"/>
        </w:rPr>
        <w:t>.</w:t>
      </w:r>
    </w:p>
    <w:p w:rsidR="00000000" w:rsidRDefault="00750FBD">
      <w:pPr>
        <w:pStyle w:val="IASBPrinciple"/>
        <w:ind w:left="780" w:hanging="780"/>
      </w:pPr>
      <w:bookmarkStart w:id="9" w:name="SUB1700"/>
      <w:bookmarkEnd w:id="9"/>
      <w:r>
        <w:rPr>
          <w:sz w:val="24"/>
          <w:szCs w:val="24"/>
        </w:rPr>
        <w:t xml:space="preserve">17.         Если материнская организация (кроме материнской организации, указанной в </w:t>
      </w:r>
      <w:hyperlink w:anchor="sub1600" w:history="1">
        <w:r>
          <w:rPr>
            <w:rStyle w:val="a3"/>
            <w:b w:val="0"/>
            <w:bCs w:val="0"/>
            <w:sz w:val="24"/>
            <w:szCs w:val="24"/>
          </w:rPr>
          <w:t>пунктах 16-16A</w:t>
        </w:r>
      </w:hyperlink>
      <w:r>
        <w:rPr>
          <w:sz w:val="24"/>
          <w:szCs w:val="24"/>
        </w:rPr>
        <w:t>) или инвестор, осуществляющий совместный контроль над объектом инвестиций или имеющий значительное влияние на него, готовят</w:t>
      </w:r>
      <w:r>
        <w:rPr>
          <w:sz w:val="24"/>
          <w:szCs w:val="24"/>
        </w:rPr>
        <w:t xml:space="preserve"> отдельную финансовую отчетность, то материнская организация или инвестор должны указать финансовую отчетность, подготовленную в соответствии с </w:t>
      </w:r>
      <w:hyperlink r:id="rId26" w:history="1">
        <w:r>
          <w:rPr>
            <w:rStyle w:val="a3"/>
            <w:b w:val="0"/>
            <w:bCs w:val="0"/>
            <w:sz w:val="24"/>
            <w:szCs w:val="24"/>
          </w:rPr>
          <w:t>МСФО (IFRS) 10</w:t>
        </w:r>
      </w:hyperlink>
      <w:r>
        <w:rPr>
          <w:sz w:val="24"/>
          <w:szCs w:val="24"/>
        </w:rPr>
        <w:t xml:space="preserve">, </w:t>
      </w:r>
      <w:hyperlink r:id="rId27" w:history="1">
        <w:r>
          <w:rPr>
            <w:rStyle w:val="a3"/>
            <w:b w:val="0"/>
            <w:bCs w:val="0"/>
            <w:sz w:val="24"/>
            <w:szCs w:val="24"/>
          </w:rPr>
          <w:t>МСФО (IFRS) 11</w:t>
        </w:r>
      </w:hyperlink>
      <w:r>
        <w:rPr>
          <w:sz w:val="24"/>
          <w:szCs w:val="24"/>
        </w:rPr>
        <w:t xml:space="preserve"> или </w:t>
      </w:r>
      <w:hyperlink r:id="rId28" w:history="1">
        <w:r>
          <w:rPr>
            <w:rStyle w:val="a3"/>
            <w:b w:val="0"/>
            <w:bCs w:val="0"/>
            <w:sz w:val="24"/>
            <w:szCs w:val="24"/>
          </w:rPr>
          <w:t>МСФО (IAS) 28</w:t>
        </w:r>
      </w:hyperlink>
      <w:r>
        <w:rPr>
          <w:sz w:val="24"/>
          <w:szCs w:val="24"/>
        </w:rPr>
        <w:t xml:space="preserve"> </w:t>
      </w:r>
      <w:r>
        <w:rPr>
          <w:sz w:val="24"/>
          <w:szCs w:val="24"/>
        </w:rPr>
        <w:t>(с учетом поправок 2011 года), к которой относится отдельная финансовая отчетность. Материнская организация или инвестор также должны раскрыть в своей отдельной финансовой отчетности следующую информацию:</w:t>
      </w:r>
    </w:p>
    <w:p w:rsidR="00000000" w:rsidRDefault="00750FBD">
      <w:pPr>
        <w:pStyle w:val="IASBPrinciple"/>
        <w:ind w:left="1560" w:hanging="780"/>
      </w:pPr>
      <w:r>
        <w:rPr>
          <w:sz w:val="24"/>
          <w:szCs w:val="24"/>
        </w:rPr>
        <w:t>(a)         факт, что данная отчетность является от</w:t>
      </w:r>
      <w:r>
        <w:rPr>
          <w:sz w:val="24"/>
          <w:szCs w:val="24"/>
        </w:rPr>
        <w:t>дельной финансовой отчетностью, и причины, по которым подготавливается эта финансовая отчетность, если ее подготовка не требуется в соответствии с законодательством;</w:t>
      </w:r>
    </w:p>
    <w:p w:rsidR="00000000" w:rsidRDefault="00750FBD">
      <w:pPr>
        <w:pStyle w:val="IASBPrinciple"/>
        <w:ind w:left="1560" w:hanging="780"/>
      </w:pPr>
      <w:r>
        <w:rPr>
          <w:sz w:val="24"/>
          <w:szCs w:val="24"/>
        </w:rPr>
        <w:t>(b)        перечень значительных инвестиций в дочерние организации, совместные предприятия</w:t>
      </w:r>
      <w:r>
        <w:rPr>
          <w:sz w:val="24"/>
          <w:szCs w:val="24"/>
        </w:rPr>
        <w:t xml:space="preserve"> и ассоциированные организации, включая:</w:t>
      </w:r>
    </w:p>
    <w:p w:rsidR="00000000" w:rsidRDefault="00750FBD">
      <w:pPr>
        <w:pStyle w:val="IASBPrinciple"/>
        <w:ind w:left="2340" w:hanging="780"/>
      </w:pPr>
      <w:r>
        <w:rPr>
          <w:sz w:val="24"/>
          <w:szCs w:val="24"/>
        </w:rPr>
        <w:t>(i)          название объектов инвестиций;</w:t>
      </w:r>
    </w:p>
    <w:p w:rsidR="00000000" w:rsidRDefault="00750FBD">
      <w:pPr>
        <w:pStyle w:val="IASBPrinciple"/>
        <w:ind w:left="2340" w:hanging="780"/>
      </w:pPr>
      <w:r>
        <w:rPr>
          <w:sz w:val="24"/>
          <w:szCs w:val="24"/>
        </w:rPr>
        <w:t>(ii)         место ведения основной деятельности (и страну юридической регистрации, если она отличается от места основной деятельности) объектов инвестиций;</w:t>
      </w:r>
    </w:p>
    <w:p w:rsidR="00000000" w:rsidRDefault="00750FBD">
      <w:pPr>
        <w:pStyle w:val="IASBPrinciple"/>
        <w:ind w:left="2340" w:hanging="780"/>
      </w:pPr>
      <w:r>
        <w:rPr>
          <w:sz w:val="24"/>
          <w:szCs w:val="24"/>
        </w:rPr>
        <w:t>(iii)        св</w:t>
      </w:r>
      <w:r>
        <w:rPr>
          <w:sz w:val="24"/>
          <w:szCs w:val="24"/>
        </w:rPr>
        <w:t>ою долю владения (и долю прав голоса, если она отличается от доли владения), имеющуюся в объектах инвестиций;</w:t>
      </w:r>
    </w:p>
    <w:p w:rsidR="00000000" w:rsidRDefault="00750FBD">
      <w:pPr>
        <w:pStyle w:val="IASBPrinciple"/>
        <w:ind w:left="1560" w:hanging="780"/>
      </w:pPr>
      <w:r>
        <w:rPr>
          <w:sz w:val="24"/>
          <w:szCs w:val="24"/>
        </w:rPr>
        <w:t>(c)         описание примененного метода учета инвестиций, указанных в подпункте (b).</w:t>
      </w:r>
    </w:p>
    <w:p w:rsidR="00000000" w:rsidRDefault="00750FBD">
      <w:pPr>
        <w:pStyle w:val="IASBSectionTitleU"/>
      </w:pPr>
      <w:r>
        <w:rPr>
          <w:rFonts w:ascii="Times New Roman" w:hAnsi="Times New Roman" w:cs="Times New Roman"/>
          <w:sz w:val="24"/>
          <w:szCs w:val="24"/>
        </w:rPr>
        <w:t>Дата вступления в силу и переходные положения</w:t>
      </w:r>
    </w:p>
    <w:p w:rsidR="00000000" w:rsidRDefault="00750FBD">
      <w:pPr>
        <w:pStyle w:val="IASBNormal"/>
        <w:ind w:left="780" w:hanging="780"/>
      </w:pPr>
      <w:r>
        <w:rPr>
          <w:sz w:val="24"/>
          <w:szCs w:val="24"/>
        </w:rPr>
        <w:t>18.         Ор</w:t>
      </w:r>
      <w:r>
        <w:rPr>
          <w:sz w:val="24"/>
          <w:szCs w:val="24"/>
        </w:rPr>
        <w:t>ганизация должна применять настоящий стандарт для годовых периодов, начинающихся 1 января 2013 года или после этой даты. Допускается досрочное применение. Если организация применит настоящий стандарт для более раннего периода, организация должна раскрыть э</w:t>
      </w:r>
      <w:r>
        <w:rPr>
          <w:sz w:val="24"/>
          <w:szCs w:val="24"/>
        </w:rPr>
        <w:t xml:space="preserve">тот факт и применять стандарт одновременно с </w:t>
      </w:r>
      <w:hyperlink r:id="rId29" w:history="1">
        <w:r>
          <w:rPr>
            <w:rStyle w:val="a3"/>
            <w:sz w:val="24"/>
            <w:szCs w:val="24"/>
          </w:rPr>
          <w:t>МСФО (IFRS) 10</w:t>
        </w:r>
      </w:hyperlink>
      <w:r>
        <w:rPr>
          <w:sz w:val="24"/>
          <w:szCs w:val="24"/>
        </w:rPr>
        <w:t xml:space="preserve">, </w:t>
      </w:r>
      <w:hyperlink r:id="rId30" w:history="1">
        <w:r>
          <w:rPr>
            <w:rStyle w:val="a3"/>
            <w:sz w:val="24"/>
            <w:szCs w:val="24"/>
          </w:rPr>
          <w:t>МСФО (IFRS) 11</w:t>
        </w:r>
      </w:hyperlink>
      <w:r>
        <w:rPr>
          <w:sz w:val="24"/>
          <w:szCs w:val="24"/>
        </w:rPr>
        <w:t xml:space="preserve">, </w:t>
      </w:r>
      <w:hyperlink r:id="rId31" w:history="1">
        <w:r>
          <w:rPr>
            <w:rStyle w:val="a3"/>
            <w:sz w:val="24"/>
            <w:szCs w:val="24"/>
          </w:rPr>
          <w:t>МСФО (IFRS) 12</w:t>
        </w:r>
      </w:hyperlink>
      <w:r>
        <w:rPr>
          <w:sz w:val="24"/>
          <w:szCs w:val="24"/>
        </w:rPr>
        <w:t xml:space="preserve"> и </w:t>
      </w:r>
      <w:hyperlink r:id="rId32" w:history="1">
        <w:r>
          <w:rPr>
            <w:rStyle w:val="a3"/>
            <w:sz w:val="24"/>
            <w:szCs w:val="24"/>
          </w:rPr>
          <w:t>МСФО (IAS) 28</w:t>
        </w:r>
      </w:hyperlink>
      <w:r>
        <w:rPr>
          <w:sz w:val="24"/>
          <w:szCs w:val="24"/>
        </w:rPr>
        <w:t xml:space="preserve"> (с учетом поправок 2011 года).</w:t>
      </w:r>
    </w:p>
    <w:p w:rsidR="00000000" w:rsidRDefault="00750FBD">
      <w:pPr>
        <w:pStyle w:val="IASBNormalnpara"/>
      </w:pPr>
      <w:r>
        <w:rPr>
          <w:sz w:val="24"/>
          <w:szCs w:val="24"/>
        </w:rPr>
        <w:t xml:space="preserve">18A      Поправками к </w:t>
      </w:r>
      <w:hyperlink r:id="rId33" w:history="1">
        <w:r>
          <w:rPr>
            <w:rStyle w:val="a3"/>
            <w:sz w:val="24"/>
            <w:szCs w:val="24"/>
          </w:rPr>
          <w:t>МСФО (IFRS) 10</w:t>
        </w:r>
      </w:hyperlink>
      <w:r>
        <w:rPr>
          <w:sz w:val="24"/>
          <w:szCs w:val="24"/>
        </w:rPr>
        <w:t xml:space="preserve">, </w:t>
      </w:r>
      <w:hyperlink r:id="rId34" w:history="1">
        <w:r>
          <w:rPr>
            <w:rStyle w:val="a3"/>
            <w:sz w:val="24"/>
            <w:szCs w:val="24"/>
          </w:rPr>
          <w:t>МСФО (IFRS) 12</w:t>
        </w:r>
      </w:hyperlink>
      <w:r>
        <w:rPr>
          <w:sz w:val="24"/>
          <w:szCs w:val="24"/>
        </w:rPr>
        <w:t xml:space="preserve"> и </w:t>
      </w:r>
      <w:hyperlink w:anchor="sub0" w:history="1">
        <w:r>
          <w:rPr>
            <w:rStyle w:val="a3"/>
            <w:sz w:val="24"/>
            <w:szCs w:val="24"/>
          </w:rPr>
          <w:t>МСФО (IAS) 27</w:t>
        </w:r>
      </w:hyperlink>
      <w:r>
        <w:rPr>
          <w:sz w:val="24"/>
          <w:szCs w:val="24"/>
        </w:rPr>
        <w:t xml:space="preserve"> </w:t>
      </w:r>
      <w:r>
        <w:rPr>
          <w:i/>
          <w:iCs/>
          <w:sz w:val="24"/>
          <w:szCs w:val="24"/>
        </w:rPr>
        <w:t>«Инвестиционные организации»</w:t>
      </w:r>
      <w:r>
        <w:rPr>
          <w:sz w:val="24"/>
          <w:szCs w:val="24"/>
        </w:rPr>
        <w:t xml:space="preserve">, выпущенными в октябре 2012 года, внесены изменения в </w:t>
      </w:r>
      <w:hyperlink w:anchor="sub500" w:history="1">
        <w:r>
          <w:rPr>
            <w:rStyle w:val="a3"/>
            <w:sz w:val="24"/>
            <w:szCs w:val="24"/>
          </w:rPr>
          <w:t>пункты 5, 6</w:t>
        </w:r>
      </w:hyperlink>
      <w:r>
        <w:rPr>
          <w:sz w:val="24"/>
          <w:szCs w:val="24"/>
        </w:rPr>
        <w:t xml:space="preserve">, </w:t>
      </w:r>
      <w:hyperlink w:anchor="sub1700" w:history="1">
        <w:r>
          <w:rPr>
            <w:rStyle w:val="a3"/>
            <w:sz w:val="24"/>
            <w:szCs w:val="24"/>
          </w:rPr>
          <w:t>17 и 18</w:t>
        </w:r>
      </w:hyperlink>
      <w:r>
        <w:rPr>
          <w:sz w:val="24"/>
          <w:szCs w:val="24"/>
        </w:rPr>
        <w:t xml:space="preserve">, а также добавлены </w:t>
      </w:r>
      <w:hyperlink w:anchor="sub80100" w:history="1">
        <w:r>
          <w:rPr>
            <w:rStyle w:val="a3"/>
            <w:sz w:val="24"/>
            <w:szCs w:val="24"/>
          </w:rPr>
          <w:t>пункты 8A</w:t>
        </w:r>
      </w:hyperlink>
      <w:r>
        <w:rPr>
          <w:sz w:val="24"/>
          <w:szCs w:val="24"/>
        </w:rPr>
        <w:t xml:space="preserve">, </w:t>
      </w:r>
      <w:hyperlink w:anchor="sub110100" w:history="1">
        <w:r>
          <w:rPr>
            <w:rStyle w:val="a3"/>
            <w:sz w:val="24"/>
            <w:szCs w:val="24"/>
          </w:rPr>
          <w:t>11A-11B</w:t>
        </w:r>
      </w:hyperlink>
      <w:r>
        <w:rPr>
          <w:sz w:val="24"/>
          <w:szCs w:val="24"/>
        </w:rPr>
        <w:t xml:space="preserve">, </w:t>
      </w:r>
      <w:hyperlink w:anchor="sub160100" w:history="1">
        <w:r>
          <w:rPr>
            <w:rStyle w:val="a3"/>
            <w:sz w:val="24"/>
            <w:szCs w:val="24"/>
          </w:rPr>
          <w:t>16A</w:t>
        </w:r>
      </w:hyperlink>
      <w:r>
        <w:rPr>
          <w:sz w:val="24"/>
          <w:szCs w:val="24"/>
        </w:rPr>
        <w:t xml:space="preserve"> и </w:t>
      </w:r>
      <w:hyperlink w:anchor="sub180200" w:history="1">
        <w:r>
          <w:rPr>
            <w:rStyle w:val="a3"/>
            <w:sz w:val="24"/>
            <w:szCs w:val="24"/>
          </w:rPr>
          <w:t>18B-18I</w:t>
        </w:r>
      </w:hyperlink>
      <w:r>
        <w:rPr>
          <w:sz w:val="24"/>
          <w:szCs w:val="24"/>
        </w:rPr>
        <w:t xml:space="preserve">. Организация должна применять данные поправки для годовых периодов, начинающихся 1 января 2014 года или после этой даты. Допускается досрочное применение. Если организация применит данные поправки досрочно, она должна применить одновременно все поправки, </w:t>
      </w:r>
      <w:r>
        <w:rPr>
          <w:sz w:val="24"/>
          <w:szCs w:val="24"/>
        </w:rPr>
        <w:t xml:space="preserve">включенные в состав поправок </w:t>
      </w:r>
      <w:r>
        <w:rPr>
          <w:i/>
          <w:iCs/>
          <w:sz w:val="24"/>
          <w:szCs w:val="24"/>
        </w:rPr>
        <w:t>«Инвестиционные организации»</w:t>
      </w:r>
      <w:r>
        <w:rPr>
          <w:sz w:val="24"/>
          <w:szCs w:val="24"/>
        </w:rPr>
        <w:t>.</w:t>
      </w:r>
    </w:p>
    <w:p w:rsidR="00000000" w:rsidRDefault="00750FBD">
      <w:pPr>
        <w:pStyle w:val="IASBNormalnpara"/>
      </w:pPr>
      <w:bookmarkStart w:id="10" w:name="SUB180200"/>
      <w:bookmarkEnd w:id="10"/>
      <w:r>
        <w:rPr>
          <w:sz w:val="24"/>
          <w:szCs w:val="24"/>
        </w:rPr>
        <w:t xml:space="preserve">18B      Если на дату первоначального применения поправок </w:t>
      </w:r>
      <w:r>
        <w:rPr>
          <w:i/>
          <w:iCs/>
          <w:sz w:val="24"/>
          <w:szCs w:val="24"/>
        </w:rPr>
        <w:t xml:space="preserve">«Инвестиционные организации» </w:t>
      </w:r>
      <w:r>
        <w:rPr>
          <w:sz w:val="24"/>
          <w:szCs w:val="24"/>
        </w:rPr>
        <w:t>(которой для целей настоящего стандарта является начало годового отчетного периода, для которого данные поправ</w:t>
      </w:r>
      <w:r>
        <w:rPr>
          <w:sz w:val="24"/>
          <w:szCs w:val="24"/>
        </w:rPr>
        <w:t xml:space="preserve">ки применяются впервые) материнская организация приходит к выводу, что она является инвестиционной организацией, она должна применять </w:t>
      </w:r>
      <w:hyperlink w:anchor="sub180300" w:history="1">
        <w:r>
          <w:rPr>
            <w:rStyle w:val="a3"/>
            <w:sz w:val="24"/>
            <w:szCs w:val="24"/>
          </w:rPr>
          <w:t>пункты 18C-18I</w:t>
        </w:r>
      </w:hyperlink>
      <w:r>
        <w:rPr>
          <w:sz w:val="24"/>
          <w:szCs w:val="24"/>
        </w:rPr>
        <w:t xml:space="preserve"> в отношении своих инвестиций в дочерние организации.</w:t>
      </w:r>
    </w:p>
    <w:p w:rsidR="00000000" w:rsidRDefault="00750FBD">
      <w:pPr>
        <w:pStyle w:val="IASBNormalnpara"/>
      </w:pPr>
      <w:bookmarkStart w:id="11" w:name="SUB180300"/>
      <w:bookmarkEnd w:id="11"/>
      <w:r>
        <w:rPr>
          <w:sz w:val="24"/>
          <w:szCs w:val="24"/>
        </w:rPr>
        <w:t>18C      На дату перво</w:t>
      </w:r>
      <w:r>
        <w:rPr>
          <w:sz w:val="24"/>
          <w:szCs w:val="24"/>
        </w:rPr>
        <w:t>начального применения инвестиционная организация, которая ранее оценивала свою инвестицию в дочернюю организацию по первоначальной стоимости, должна вместо этого оценить данную инвестицию по справедливой стоимости через прибыль или убыток, как если бы треб</w:t>
      </w:r>
      <w:r>
        <w:rPr>
          <w:sz w:val="24"/>
          <w:szCs w:val="24"/>
        </w:rPr>
        <w:t>ования настоящего стандарта действовали всегда. Инвестиционная организация должна произвести ретроспективную корректировку сумм, относящихся к годовому периоду, непосредственно предшествующему дате первоначального применения, а также должна скорректировать</w:t>
      </w:r>
      <w:r>
        <w:rPr>
          <w:sz w:val="24"/>
          <w:szCs w:val="24"/>
        </w:rPr>
        <w:t xml:space="preserve"> нераспределенную прибыль по состоянию на начало непосредственно предшествующего периода в отношении разницы между:</w:t>
      </w:r>
    </w:p>
    <w:p w:rsidR="00000000" w:rsidRDefault="00750FBD">
      <w:pPr>
        <w:pStyle w:val="IASBNormalnparaL1"/>
      </w:pPr>
      <w:r>
        <w:rPr>
          <w:sz w:val="24"/>
          <w:szCs w:val="24"/>
        </w:rPr>
        <w:t>(a)         предыдущей балансовой стоимостью инвестиции; и</w:t>
      </w:r>
    </w:p>
    <w:p w:rsidR="00000000" w:rsidRDefault="00750FBD">
      <w:pPr>
        <w:pStyle w:val="IASBNormalnparaL1"/>
      </w:pPr>
      <w:r>
        <w:rPr>
          <w:sz w:val="24"/>
          <w:szCs w:val="24"/>
        </w:rPr>
        <w:t xml:space="preserve">(b)         </w:t>
      </w:r>
      <w:r>
        <w:rPr>
          <w:sz w:val="24"/>
          <w:szCs w:val="24"/>
        </w:rPr>
        <w:t>справедливой стоимостью инвестиции инвестора в данную дочернюю организацию.</w:t>
      </w:r>
    </w:p>
    <w:p w:rsidR="00000000" w:rsidRDefault="00750FBD">
      <w:pPr>
        <w:pStyle w:val="IASBNormalnpara"/>
      </w:pPr>
      <w:r>
        <w:rPr>
          <w:sz w:val="24"/>
          <w:szCs w:val="24"/>
        </w:rPr>
        <w:t>18D      На дату первоначального применения инвестиционная организация, которая ранее оценивала свою инвестицию в дочернюю организацию по справедливой стоимости через прочий совоку</w:t>
      </w:r>
      <w:r>
        <w:rPr>
          <w:sz w:val="24"/>
          <w:szCs w:val="24"/>
        </w:rPr>
        <w:t xml:space="preserve">пный доход, должна продолжать оценивать данную инвестицию по справедливой стоимости. Накопленная сумма корректировок справедливой стоимости, ранее отраженных в составе прочего совокупного дохода, должна быть переведена в состав нераспределенной прибыли по </w:t>
      </w:r>
      <w:r>
        <w:rPr>
          <w:sz w:val="24"/>
          <w:szCs w:val="24"/>
        </w:rPr>
        <w:t>состоянию на начало годового периода, непосредственно предшествующего дате первоначального применения.</w:t>
      </w:r>
    </w:p>
    <w:p w:rsidR="00000000" w:rsidRDefault="00750FBD">
      <w:pPr>
        <w:pStyle w:val="IASBNormalnpara"/>
      </w:pPr>
      <w:r>
        <w:rPr>
          <w:sz w:val="24"/>
          <w:szCs w:val="24"/>
        </w:rPr>
        <w:t>18E       На дату первоначального применения инвестиционная организация не должна производить корректировок прежнего порядка учета доли владения в дочерн</w:t>
      </w:r>
      <w:r>
        <w:rPr>
          <w:sz w:val="24"/>
          <w:szCs w:val="24"/>
        </w:rPr>
        <w:t xml:space="preserve">ей организации, которую она ранее решила оценивать по справедливой стоимости через прибыль или убыток в соответствии с </w:t>
      </w:r>
      <w:hyperlink r:id="rId35" w:history="1">
        <w:r>
          <w:rPr>
            <w:rStyle w:val="a3"/>
            <w:sz w:val="24"/>
            <w:szCs w:val="24"/>
          </w:rPr>
          <w:t>МСФО (IFRS) 9</w:t>
        </w:r>
      </w:hyperlink>
      <w:r>
        <w:rPr>
          <w:sz w:val="24"/>
          <w:szCs w:val="24"/>
        </w:rPr>
        <w:t xml:space="preserve">, что допускается </w:t>
      </w:r>
      <w:hyperlink w:anchor="sub1000" w:history="1">
        <w:r>
          <w:rPr>
            <w:rStyle w:val="a3"/>
            <w:sz w:val="24"/>
            <w:szCs w:val="24"/>
          </w:rPr>
          <w:t>пунктом 10</w:t>
        </w:r>
      </w:hyperlink>
      <w:r>
        <w:rPr>
          <w:sz w:val="24"/>
          <w:szCs w:val="24"/>
        </w:rPr>
        <w:t>.</w:t>
      </w:r>
    </w:p>
    <w:p w:rsidR="00000000" w:rsidRDefault="00750FBD">
      <w:pPr>
        <w:pStyle w:val="IASBNormalnpara"/>
      </w:pPr>
      <w:r>
        <w:rPr>
          <w:sz w:val="24"/>
          <w:szCs w:val="24"/>
        </w:rPr>
        <w:t xml:space="preserve">18F       До даты применения </w:t>
      </w:r>
      <w:hyperlink r:id="rId36" w:history="1">
        <w:r>
          <w:rPr>
            <w:rStyle w:val="a3"/>
            <w:sz w:val="24"/>
            <w:szCs w:val="24"/>
          </w:rPr>
          <w:t>МСФО (IFRS) 13</w:t>
        </w:r>
      </w:hyperlink>
      <w:r>
        <w:rPr>
          <w:sz w:val="24"/>
          <w:szCs w:val="24"/>
        </w:rPr>
        <w:t xml:space="preserve"> </w:t>
      </w:r>
      <w:r>
        <w:rPr>
          <w:i/>
          <w:iCs/>
          <w:sz w:val="24"/>
          <w:szCs w:val="24"/>
        </w:rPr>
        <w:t xml:space="preserve">«Оценка справедливой стоимости» </w:t>
      </w:r>
      <w:r>
        <w:rPr>
          <w:sz w:val="24"/>
          <w:szCs w:val="24"/>
        </w:rPr>
        <w:t>инвестиционная организация должна использовать значения справедливой стоимости, которые ранее представлялись инвес</w:t>
      </w:r>
      <w:r>
        <w:rPr>
          <w:sz w:val="24"/>
          <w:szCs w:val="24"/>
        </w:rPr>
        <w:t>торам или руководству, если данные значения представляют собой сумму, за которую инвестиция могла бы быть обменяна на дату проведения оценки при совершении операции между хорошо осведомленными, желающими совершить такую операцию независимыми сторонами.</w:t>
      </w:r>
    </w:p>
    <w:p w:rsidR="00000000" w:rsidRDefault="00750FBD">
      <w:pPr>
        <w:pStyle w:val="IASBNormalnpara"/>
      </w:pPr>
      <w:r>
        <w:rPr>
          <w:sz w:val="24"/>
          <w:szCs w:val="24"/>
        </w:rPr>
        <w:t>18G</w:t>
      </w:r>
      <w:r>
        <w:rPr>
          <w:sz w:val="24"/>
          <w:szCs w:val="24"/>
        </w:rPr>
        <w:t xml:space="preserve">      Если оценка инвестиции в дочернюю организацию согласно </w:t>
      </w:r>
      <w:hyperlink w:anchor="sub180300" w:history="1">
        <w:r>
          <w:rPr>
            <w:rStyle w:val="a3"/>
            <w:sz w:val="24"/>
            <w:szCs w:val="24"/>
          </w:rPr>
          <w:t>пунктам 18С-18F</w:t>
        </w:r>
      </w:hyperlink>
      <w:r>
        <w:rPr>
          <w:sz w:val="24"/>
          <w:szCs w:val="24"/>
        </w:rPr>
        <w:t xml:space="preserve"> практически неосуществима (как это определено в </w:t>
      </w:r>
      <w:hyperlink r:id="rId37" w:history="1">
        <w:r>
          <w:rPr>
            <w:rStyle w:val="a3"/>
            <w:sz w:val="24"/>
            <w:szCs w:val="24"/>
          </w:rPr>
          <w:t>МСФО (IAS) 8</w:t>
        </w:r>
      </w:hyperlink>
      <w:r>
        <w:rPr>
          <w:sz w:val="24"/>
          <w:szCs w:val="24"/>
        </w:rPr>
        <w:t xml:space="preserve"> </w:t>
      </w:r>
      <w:r>
        <w:rPr>
          <w:i/>
          <w:iCs/>
          <w:sz w:val="24"/>
          <w:szCs w:val="24"/>
        </w:rPr>
        <w:t>«Учетная политика, изм</w:t>
      </w:r>
      <w:r>
        <w:rPr>
          <w:i/>
          <w:iCs/>
          <w:sz w:val="24"/>
          <w:szCs w:val="24"/>
        </w:rPr>
        <w:t>енения в бухгалтерских оценках и ошибки»</w:t>
      </w:r>
      <w:r>
        <w:rPr>
          <w:sz w:val="24"/>
          <w:szCs w:val="24"/>
        </w:rPr>
        <w:t xml:space="preserve">), то инвестиционная организация должна применять требования настоящего стандарта по состоянию на начало самого раннего периода, для которого применение </w:t>
      </w:r>
      <w:hyperlink w:anchor="sub180300" w:history="1">
        <w:r>
          <w:rPr>
            <w:rStyle w:val="a3"/>
            <w:sz w:val="24"/>
            <w:szCs w:val="24"/>
          </w:rPr>
          <w:t>пунктов 18С-18F</w:t>
        </w:r>
      </w:hyperlink>
      <w:r>
        <w:rPr>
          <w:sz w:val="24"/>
          <w:szCs w:val="24"/>
        </w:rPr>
        <w:t xml:space="preserve"> практически осу</w:t>
      </w:r>
      <w:r>
        <w:rPr>
          <w:sz w:val="24"/>
          <w:szCs w:val="24"/>
        </w:rPr>
        <w:t>ществимо; этим периодом может быть текущий период. Инвестор должен произвести ретроспективную корректировку сумм, относящихся к годовому периоду, непосредственно предшествующему дате первоначального применения, если только началом самого раннего периода, д</w:t>
      </w:r>
      <w:r>
        <w:rPr>
          <w:sz w:val="24"/>
          <w:szCs w:val="24"/>
        </w:rPr>
        <w:t>ля которого применение этого пункта практически осуществимо, не является текущий период. Если дата, на которую оценка справедливой стоимости дочерней организации практически осуществима для инвестиционной организации, имеет место ранее, чем начало непосред</w:t>
      </w:r>
      <w:r>
        <w:rPr>
          <w:sz w:val="24"/>
          <w:szCs w:val="24"/>
        </w:rPr>
        <w:t>ственно предшествующего периода, то инвестор должен произвести корректировку собственного капитала по состоянию на начало непосредственно предшествующего периода в отношении разницы между:</w:t>
      </w:r>
    </w:p>
    <w:p w:rsidR="00000000" w:rsidRDefault="00750FBD">
      <w:pPr>
        <w:pStyle w:val="IASBNormalnparaL1"/>
      </w:pPr>
      <w:r>
        <w:rPr>
          <w:sz w:val="24"/>
          <w:szCs w:val="24"/>
        </w:rPr>
        <w:t>(a)         предыдущей балансовой стоимостью инвестиции; и</w:t>
      </w:r>
    </w:p>
    <w:p w:rsidR="00000000" w:rsidRDefault="00750FBD">
      <w:pPr>
        <w:pStyle w:val="IASBNormalnparaL1"/>
      </w:pPr>
      <w:r>
        <w:rPr>
          <w:sz w:val="24"/>
          <w:szCs w:val="24"/>
        </w:rPr>
        <w:t>(b)     </w:t>
      </w:r>
      <w:r>
        <w:rPr>
          <w:sz w:val="24"/>
          <w:szCs w:val="24"/>
        </w:rPr>
        <w:t>    справедливой стоимостью инвестиции инвестора в данную дочернюю организацию.</w:t>
      </w:r>
    </w:p>
    <w:p w:rsidR="00000000" w:rsidRDefault="00750FBD">
      <w:pPr>
        <w:pStyle w:val="IASBNormalnparaP"/>
      </w:pPr>
      <w:r>
        <w:rPr>
          <w:sz w:val="24"/>
          <w:szCs w:val="24"/>
        </w:rPr>
        <w:t xml:space="preserve">Если самым ранним периодом, для которого практически осуществимо применение настоящего пункта, является текущий период, то корректировка в составе собственного капитала должна </w:t>
      </w:r>
      <w:r>
        <w:rPr>
          <w:sz w:val="24"/>
          <w:szCs w:val="24"/>
        </w:rPr>
        <w:t>признаваться на начало текущего периода.</w:t>
      </w:r>
    </w:p>
    <w:p w:rsidR="00000000" w:rsidRDefault="00750FBD">
      <w:pPr>
        <w:pStyle w:val="IASBNormalnpara"/>
      </w:pPr>
      <w:r>
        <w:rPr>
          <w:sz w:val="24"/>
          <w:szCs w:val="24"/>
        </w:rPr>
        <w:t xml:space="preserve">18H      Если у инвестиционной организации выбывает инвестиция в дочернюю организацию или происходит утрата контроля над ней до даты первоначального применения поправок </w:t>
      </w:r>
      <w:r>
        <w:rPr>
          <w:i/>
          <w:iCs/>
          <w:sz w:val="24"/>
          <w:szCs w:val="24"/>
        </w:rPr>
        <w:t>«Инвестиционные организации»</w:t>
      </w:r>
      <w:r>
        <w:rPr>
          <w:sz w:val="24"/>
          <w:szCs w:val="24"/>
        </w:rPr>
        <w:t>, то инвестиционна</w:t>
      </w:r>
      <w:r>
        <w:rPr>
          <w:sz w:val="24"/>
          <w:szCs w:val="24"/>
        </w:rPr>
        <w:t>я организация не обязана производить корректировки ранее применявшегося к данной инвестиции порядка учета.</w:t>
      </w:r>
    </w:p>
    <w:p w:rsidR="00000000" w:rsidRDefault="00750FBD">
      <w:pPr>
        <w:pStyle w:val="IASBNormalnpara"/>
      </w:pPr>
      <w:r>
        <w:rPr>
          <w:sz w:val="24"/>
          <w:szCs w:val="24"/>
        </w:rPr>
        <w:t>18I        Несмотря на указания на годовой период, непосредственно предшествующий дате первоначального применения («непосредственно предшествующий пе</w:t>
      </w:r>
      <w:r>
        <w:rPr>
          <w:sz w:val="24"/>
          <w:szCs w:val="24"/>
        </w:rPr>
        <w:t xml:space="preserve">риод»), содержащиеся в </w:t>
      </w:r>
      <w:hyperlink w:anchor="sub180300" w:history="1">
        <w:r>
          <w:rPr>
            <w:rStyle w:val="a3"/>
            <w:sz w:val="24"/>
            <w:szCs w:val="24"/>
          </w:rPr>
          <w:t>пунктах 18C-18G</w:t>
        </w:r>
      </w:hyperlink>
      <w:r>
        <w:rPr>
          <w:sz w:val="24"/>
          <w:szCs w:val="24"/>
        </w:rPr>
        <w:t>, организация вправе, но не обязана представлять скорректированную сравнительную информацию за более ранние представленные ею периоды. Если организация представляет скорректированную сравнительную информацию за более ранние периоды, то все указания на «неп</w:t>
      </w:r>
      <w:r>
        <w:rPr>
          <w:sz w:val="24"/>
          <w:szCs w:val="24"/>
        </w:rPr>
        <w:t>осредственно предшествующий период» в пунктах 18C-18G должны рассматриваться как указания на «самый ранний из представленных скорректированных сравнительных периодов». Если организация представляет нескорректированную сравнительную информацию за более ранн</w:t>
      </w:r>
      <w:r>
        <w:rPr>
          <w:sz w:val="24"/>
          <w:szCs w:val="24"/>
        </w:rPr>
        <w:t>ие периоды, то она должна четко идентифицировать информацию, которая не подверглась корректировке, заявить, что она была подготовлена на другой основе, и представить разъяснения в отношении данной основы подготовки информации.</w:t>
      </w:r>
    </w:p>
    <w:p w:rsidR="00000000" w:rsidRDefault="00750FBD">
      <w:pPr>
        <w:pStyle w:val="IASBNormalnpara"/>
      </w:pPr>
      <w:r>
        <w:rPr>
          <w:sz w:val="24"/>
          <w:szCs w:val="24"/>
        </w:rPr>
        <w:t xml:space="preserve">18J        </w:t>
      </w:r>
      <w:r>
        <w:rPr>
          <w:i/>
          <w:iCs/>
          <w:sz w:val="24"/>
          <w:szCs w:val="24"/>
        </w:rPr>
        <w:t>[Данный пункт каса</w:t>
      </w:r>
      <w:r>
        <w:rPr>
          <w:i/>
          <w:iCs/>
          <w:sz w:val="24"/>
          <w:szCs w:val="24"/>
        </w:rPr>
        <w:t>ется поправок, еще не вступивших в силу, и поэтому не включен в настоящую редакцию.]</w:t>
      </w:r>
    </w:p>
    <w:p w:rsidR="00000000" w:rsidRDefault="00750FBD">
      <w:pPr>
        <w:pStyle w:val="DaveIASBSubsectionTitle"/>
      </w:pPr>
      <w:r>
        <w:rPr>
          <w:rFonts w:ascii="Times New Roman" w:hAnsi="Times New Roman" w:cs="Times New Roman"/>
          <w:sz w:val="24"/>
          <w:szCs w:val="24"/>
        </w:rPr>
        <w:t xml:space="preserve">Ссылки на </w:t>
      </w:r>
      <w:hyperlink r:id="rId38" w:history="1">
        <w:r>
          <w:rPr>
            <w:rStyle w:val="a3"/>
            <w:rFonts w:ascii="Times New Roman" w:hAnsi="Times New Roman" w:cs="Times New Roman"/>
            <w:b w:val="0"/>
            <w:bCs w:val="0"/>
            <w:sz w:val="24"/>
            <w:szCs w:val="24"/>
          </w:rPr>
          <w:t>МСФО (IFRS) 9</w:t>
        </w:r>
      </w:hyperlink>
    </w:p>
    <w:p w:rsidR="00000000" w:rsidRDefault="00750FBD">
      <w:pPr>
        <w:pStyle w:val="IASBNormal"/>
        <w:ind w:left="780" w:hanging="780"/>
      </w:pPr>
      <w:r>
        <w:rPr>
          <w:sz w:val="24"/>
          <w:szCs w:val="24"/>
        </w:rPr>
        <w:t>19.         Если организация применяет настоящий стандарт, но все еще не применяет</w:t>
      </w:r>
      <w:r>
        <w:rPr>
          <w:sz w:val="24"/>
          <w:szCs w:val="24"/>
        </w:rPr>
        <w:t xml:space="preserve"> </w:t>
      </w:r>
      <w:hyperlink r:id="rId39" w:history="1">
        <w:r>
          <w:rPr>
            <w:rStyle w:val="a3"/>
            <w:sz w:val="24"/>
            <w:szCs w:val="24"/>
          </w:rPr>
          <w:t>МСФО (IFRS) 9</w:t>
        </w:r>
      </w:hyperlink>
      <w:r>
        <w:rPr>
          <w:sz w:val="24"/>
          <w:szCs w:val="24"/>
        </w:rPr>
        <w:t xml:space="preserve">, то любая ссылка на МСФО (IFRS) 9 должна читаться как ссылка на </w:t>
      </w:r>
      <w:hyperlink r:id="rId40" w:history="1">
        <w:r>
          <w:rPr>
            <w:rStyle w:val="a3"/>
            <w:sz w:val="24"/>
            <w:szCs w:val="24"/>
          </w:rPr>
          <w:t>МСФО (IAS) 39</w:t>
        </w:r>
      </w:hyperlink>
      <w:r>
        <w:rPr>
          <w:sz w:val="24"/>
          <w:szCs w:val="24"/>
        </w:rPr>
        <w:t xml:space="preserve"> </w:t>
      </w:r>
      <w:r>
        <w:rPr>
          <w:i/>
          <w:iCs/>
          <w:sz w:val="24"/>
          <w:szCs w:val="24"/>
        </w:rPr>
        <w:t>«Финансовые инструменты: признани</w:t>
      </w:r>
      <w:r>
        <w:rPr>
          <w:i/>
          <w:iCs/>
          <w:sz w:val="24"/>
          <w:szCs w:val="24"/>
        </w:rPr>
        <w:t>е и оценка»</w:t>
      </w:r>
      <w:r>
        <w:rPr>
          <w:sz w:val="24"/>
          <w:szCs w:val="24"/>
        </w:rPr>
        <w:t xml:space="preserve">. </w:t>
      </w:r>
    </w:p>
    <w:p w:rsidR="00000000" w:rsidRDefault="00750FBD">
      <w:pPr>
        <w:pStyle w:val="IASBSectionTitleU"/>
      </w:pPr>
      <w:r>
        <w:rPr>
          <w:rFonts w:ascii="Times New Roman" w:hAnsi="Times New Roman" w:cs="Times New Roman"/>
          <w:sz w:val="24"/>
          <w:szCs w:val="24"/>
        </w:rPr>
        <w:t>Прекращение действия МСФО (IAS) 27 (в редакции 2008 года)</w:t>
      </w:r>
    </w:p>
    <w:p w:rsidR="00000000" w:rsidRDefault="00750FBD">
      <w:pPr>
        <w:pStyle w:val="IASBNormal"/>
        <w:ind w:left="780" w:hanging="780"/>
      </w:pPr>
      <w:r>
        <w:rPr>
          <w:sz w:val="24"/>
          <w:szCs w:val="24"/>
        </w:rPr>
        <w:t xml:space="preserve">20.         Настоящий стандарт выпускается одновременно с </w:t>
      </w:r>
      <w:hyperlink r:id="rId41" w:history="1">
        <w:r>
          <w:rPr>
            <w:rStyle w:val="a3"/>
            <w:sz w:val="24"/>
            <w:szCs w:val="24"/>
          </w:rPr>
          <w:t>МСФО (IFRS) 10</w:t>
        </w:r>
      </w:hyperlink>
      <w:r>
        <w:rPr>
          <w:sz w:val="24"/>
          <w:szCs w:val="24"/>
        </w:rPr>
        <w:t xml:space="preserve">. Оба эти МСФО заменяют МСФО (IAS) 27 </w:t>
      </w:r>
      <w:r>
        <w:rPr>
          <w:i/>
          <w:iCs/>
          <w:sz w:val="24"/>
          <w:szCs w:val="24"/>
        </w:rPr>
        <w:t>«Консолид</w:t>
      </w:r>
      <w:r>
        <w:rPr>
          <w:i/>
          <w:iCs/>
          <w:sz w:val="24"/>
          <w:szCs w:val="24"/>
        </w:rPr>
        <w:t>ированная и отдельная финансовая отчетность»</w:t>
      </w:r>
      <w:r>
        <w:rPr>
          <w:sz w:val="24"/>
          <w:szCs w:val="24"/>
        </w:rPr>
        <w:t xml:space="preserve"> (с учетом поправок 2008 года). </w:t>
      </w:r>
    </w:p>
    <w:p w:rsidR="00000000" w:rsidRDefault="00750FBD">
      <w: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0FBD" w:rsidRDefault="00750FBD" w:rsidP="00750FBD">
      <w:r>
        <w:separator/>
      </w:r>
    </w:p>
  </w:endnote>
  <w:endnote w:type="continuationSeparator" w:id="0">
    <w:p w:rsidR="00750FBD" w:rsidRDefault="00750FBD" w:rsidP="00750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0FBD" w:rsidRDefault="00750FBD" w:rsidP="00750FBD">
      <w:r>
        <w:separator/>
      </w:r>
    </w:p>
  </w:footnote>
  <w:footnote w:type="continuationSeparator" w:id="0">
    <w:p w:rsidR="00750FBD" w:rsidRDefault="00750FBD" w:rsidP="00750F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rsidP="00750F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0FBD" w:rsidRPr="00750FBD" w:rsidRDefault="00750FBD" w:rsidP="00750FBD">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27 «Отдельная финансовая отчетность» (2015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FBD" w:rsidRDefault="00750F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0FBD"/>
    <w:rsid w:val="00750F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nparaP">
    <w:name w:val="IASB Normal nparaP"/>
    <w:basedOn w:val="a"/>
    <w:pPr>
      <w:spacing w:before="100" w:after="100"/>
      <w:ind w:left="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0FBD"/>
    <w:pPr>
      <w:tabs>
        <w:tab w:val="center" w:pos="4677"/>
        <w:tab w:val="right" w:pos="9355"/>
      </w:tabs>
    </w:pPr>
  </w:style>
  <w:style w:type="character" w:customStyle="1" w:styleId="a6">
    <w:name w:val="Верхний колонтитул Знак"/>
    <w:basedOn w:val="a0"/>
    <w:link w:val="a5"/>
    <w:uiPriority w:val="99"/>
    <w:rsid w:val="00750FBD"/>
    <w:rPr>
      <w:rFonts w:eastAsiaTheme="minorEastAsia"/>
      <w:color w:val="000000"/>
      <w:sz w:val="24"/>
      <w:szCs w:val="24"/>
    </w:rPr>
  </w:style>
  <w:style w:type="paragraph" w:styleId="a7">
    <w:name w:val="footer"/>
    <w:basedOn w:val="a"/>
    <w:link w:val="a8"/>
    <w:uiPriority w:val="99"/>
    <w:unhideWhenUsed/>
    <w:rsid w:val="00750FBD"/>
    <w:pPr>
      <w:tabs>
        <w:tab w:val="center" w:pos="4677"/>
        <w:tab w:val="right" w:pos="9355"/>
      </w:tabs>
    </w:pPr>
  </w:style>
  <w:style w:type="character" w:customStyle="1" w:styleId="a8">
    <w:name w:val="Нижний колонтитул Знак"/>
    <w:basedOn w:val="a0"/>
    <w:link w:val="a7"/>
    <w:uiPriority w:val="99"/>
    <w:rsid w:val="00750F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nparaP">
    <w:name w:val="IASB Normal nparaP"/>
    <w:basedOn w:val="a"/>
    <w:pPr>
      <w:spacing w:before="100" w:after="100"/>
      <w:ind w:left="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0FBD"/>
    <w:pPr>
      <w:tabs>
        <w:tab w:val="center" w:pos="4677"/>
        <w:tab w:val="right" w:pos="9355"/>
      </w:tabs>
    </w:pPr>
  </w:style>
  <w:style w:type="character" w:customStyle="1" w:styleId="a6">
    <w:name w:val="Верхний колонтитул Знак"/>
    <w:basedOn w:val="a0"/>
    <w:link w:val="a5"/>
    <w:uiPriority w:val="99"/>
    <w:rsid w:val="00750FBD"/>
    <w:rPr>
      <w:rFonts w:eastAsiaTheme="minorEastAsia"/>
      <w:color w:val="000000"/>
      <w:sz w:val="24"/>
      <w:szCs w:val="24"/>
    </w:rPr>
  </w:style>
  <w:style w:type="paragraph" w:styleId="a7">
    <w:name w:val="footer"/>
    <w:basedOn w:val="a"/>
    <w:link w:val="a8"/>
    <w:uiPriority w:val="99"/>
    <w:unhideWhenUsed/>
    <w:rsid w:val="00750FBD"/>
    <w:pPr>
      <w:tabs>
        <w:tab w:val="center" w:pos="4677"/>
        <w:tab w:val="right" w:pos="9355"/>
      </w:tabs>
    </w:pPr>
  </w:style>
  <w:style w:type="character" w:customStyle="1" w:styleId="a8">
    <w:name w:val="Нижний колонтитул Знак"/>
    <w:basedOn w:val="a0"/>
    <w:link w:val="a7"/>
    <w:uiPriority w:val="99"/>
    <w:rsid w:val="00750F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71976" TargetMode="External"/><Relationship Id="rId18" Type="http://schemas.openxmlformats.org/officeDocument/2006/relationships/hyperlink" Target="http://online.zakon.kz/Document/?doc_id=31026893" TargetMode="External"/><Relationship Id="rId26" Type="http://schemas.openxmlformats.org/officeDocument/2006/relationships/hyperlink" Target="http://online.zakon.kz/Document/?doc_id=31271976" TargetMode="External"/><Relationship Id="rId39" Type="http://schemas.openxmlformats.org/officeDocument/2006/relationships/hyperlink" Target="http://online.zakon.kz/Document/?doc_id=31026893" TargetMode="External"/><Relationship Id="rId21" Type="http://schemas.openxmlformats.org/officeDocument/2006/relationships/hyperlink" Target="http://online.zakon.kz/Document/?doc_id=31271976" TargetMode="External"/><Relationship Id="rId34" Type="http://schemas.openxmlformats.org/officeDocument/2006/relationships/hyperlink" Target="http://online.zakon.kz/Document/?doc_id=31272007"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31271976" TargetMode="External"/><Relationship Id="rId2" Type="http://schemas.microsoft.com/office/2007/relationships/stylesWithEffects" Target="stylesWithEffects.xml"/><Relationship Id="rId16" Type="http://schemas.openxmlformats.org/officeDocument/2006/relationships/hyperlink" Target="http://online.zakon.kz/Document/?doc_id=31026893" TargetMode="External"/><Relationship Id="rId29" Type="http://schemas.openxmlformats.org/officeDocument/2006/relationships/hyperlink" Target="http://online.zakon.kz/Document/?doc_id=31271976" TargetMode="External"/><Relationship Id="rId11" Type="http://schemas.openxmlformats.org/officeDocument/2006/relationships/hyperlink" Target="http://online.zakon.kz/Document/?doc_id=31271997" TargetMode="External"/><Relationship Id="rId24" Type="http://schemas.openxmlformats.org/officeDocument/2006/relationships/hyperlink" Target="http://online.zakon.kz/Document/?doc_id=31271976" TargetMode="External"/><Relationship Id="rId32" Type="http://schemas.openxmlformats.org/officeDocument/2006/relationships/hyperlink" Target="http://online.zakon.kz/Document/?doc_id=30003736" TargetMode="External"/><Relationship Id="rId37" Type="http://schemas.openxmlformats.org/officeDocument/2006/relationships/hyperlink" Target="http://online.zakon.kz/Document/?doc_id=1051790" TargetMode="External"/><Relationship Id="rId40" Type="http://schemas.openxmlformats.org/officeDocument/2006/relationships/hyperlink" Target="http://online.zakon.kz/Document/?doc_id=30165826"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271976" TargetMode="External"/><Relationship Id="rId23" Type="http://schemas.openxmlformats.org/officeDocument/2006/relationships/hyperlink" Target="http://online.zakon.kz/Document/?doc_id=31026893" TargetMode="External"/><Relationship Id="rId28" Type="http://schemas.openxmlformats.org/officeDocument/2006/relationships/hyperlink" Target="http://online.zakon.kz/Document/?doc_id=30003736" TargetMode="External"/><Relationship Id="rId36" Type="http://schemas.openxmlformats.org/officeDocument/2006/relationships/hyperlink" Target="http://online.zakon.kz/Document/?doc_id=31272016" TargetMode="External"/><Relationship Id="rId49" Type="http://schemas.openxmlformats.org/officeDocument/2006/relationships/theme" Target="theme/theme1.xml"/><Relationship Id="rId10" Type="http://schemas.openxmlformats.org/officeDocument/2006/relationships/hyperlink" Target="http://online.zakon.kz/Document/?doc_id=31271976" TargetMode="External"/><Relationship Id="rId19" Type="http://schemas.openxmlformats.org/officeDocument/2006/relationships/hyperlink" Target="http://online.zakon.kz/Document/?doc_id=30003736" TargetMode="External"/><Relationship Id="rId31" Type="http://schemas.openxmlformats.org/officeDocument/2006/relationships/hyperlink" Target="http://online.zakon.kz/Document/?doc_id=31272007"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271976" TargetMode="External"/><Relationship Id="rId14" Type="http://schemas.openxmlformats.org/officeDocument/2006/relationships/hyperlink" Target="http://online.zakon.kz/Document/?doc_id=30003736" TargetMode="External"/><Relationship Id="rId22" Type="http://schemas.openxmlformats.org/officeDocument/2006/relationships/hyperlink" Target="http://online.zakon.kz/Document/?doc_id=31026893" TargetMode="External"/><Relationship Id="rId27" Type="http://schemas.openxmlformats.org/officeDocument/2006/relationships/hyperlink" Target="http://online.zakon.kz/Document/?doc_id=31271997" TargetMode="External"/><Relationship Id="rId30" Type="http://schemas.openxmlformats.org/officeDocument/2006/relationships/hyperlink" Target="http://online.zakon.kz/Document/?doc_id=31271997" TargetMode="External"/><Relationship Id="rId35" Type="http://schemas.openxmlformats.org/officeDocument/2006/relationships/hyperlink" Target="http://online.zakon.kz/Document/?doc_id=31026893"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31026893" TargetMode="External"/><Relationship Id="rId3" Type="http://schemas.openxmlformats.org/officeDocument/2006/relationships/settings" Target="settings.xml"/><Relationship Id="rId12" Type="http://schemas.openxmlformats.org/officeDocument/2006/relationships/hyperlink" Target="http://online.zakon.kz/Document/?doc_id=30003736" TargetMode="External"/><Relationship Id="rId17" Type="http://schemas.openxmlformats.org/officeDocument/2006/relationships/hyperlink" Target="http://online.zakon.kz/Document/?doc_id=30060312" TargetMode="External"/><Relationship Id="rId25" Type="http://schemas.openxmlformats.org/officeDocument/2006/relationships/hyperlink" Target="http://online.zakon.kz/Document/?doc_id=31272007" TargetMode="External"/><Relationship Id="rId33" Type="http://schemas.openxmlformats.org/officeDocument/2006/relationships/hyperlink" Target="http://online.zakon.kz/Document/?doc_id=31271976" TargetMode="External"/><Relationship Id="rId38" Type="http://schemas.openxmlformats.org/officeDocument/2006/relationships/hyperlink" Target="http://online.zakon.kz/Document/?doc_id=31026893" TargetMode="External"/><Relationship Id="rId46" Type="http://schemas.openxmlformats.org/officeDocument/2006/relationships/header" Target="header3.xml"/><Relationship Id="rId20" Type="http://schemas.openxmlformats.org/officeDocument/2006/relationships/hyperlink" Target="http://online.zakon.kz/Document/?doc_id=31026893" TargetMode="External"/><Relationship Id="rId41" Type="http://schemas.openxmlformats.org/officeDocument/2006/relationships/hyperlink" Target="http://online.zakon.kz/Document/?doc_id=31271976"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2268</Words>
  <Characters>20012</Characters>
  <Application>Microsoft Office Word</Application>
  <DocSecurity>0</DocSecurity>
  <Lines>166</Lines>
  <Paragraphs>44</Paragraphs>
  <ScaleCrop>false</ScaleCrop>
  <Company/>
  <LinksUpToDate>false</LinksUpToDate>
  <CharactersWithSpaces>22236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27 «Отдельная финансовая отчетность» (2015 год) (©Paragraph 2023)</dc:title>
  <dc:subject/>
  <dc:creator>Сергей М</dc:creator>
  <cp:keywords/>
  <dc:description/>
  <cp:lastModifiedBy>Сергей М</cp:lastModifiedBy>
  <cp:revision>2</cp:revision>
  <dcterms:created xsi:type="dcterms:W3CDTF">2023-11-09T14:26:00Z</dcterms:created>
  <dcterms:modified xsi:type="dcterms:W3CDTF">2023-11-09T14:26:00Z</dcterms:modified>
</cp:coreProperties>
</file>