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2D7E">
      <w:pPr>
        <w:jc w:val="center"/>
      </w:pPr>
      <w:bookmarkStart w:id="0" w:name="_GoBack"/>
      <w:bookmarkEnd w:id="0"/>
      <w:r>
        <w:rPr>
          <w:rStyle w:val="s1"/>
        </w:rPr>
        <w:t xml:space="preserve">Международный стандарт финансовой отчетности (IAS) 28 </w:t>
      </w:r>
      <w:r>
        <w:rPr>
          <w:rStyle w:val="s1"/>
        </w:rPr>
        <w:br/>
        <w:t>«Инвестиции в ассоциированные организации и совместные предприятия»</w:t>
      </w:r>
    </w:p>
    <w:p w:rsidR="00000000" w:rsidRDefault="00B32D7E">
      <w:pPr>
        <w:pStyle w:val="IASBSectionTitleU"/>
      </w:pPr>
      <w:r>
        <w:rPr>
          <w:rFonts w:ascii="Times New Roman" w:hAnsi="Times New Roman" w:cs="Times New Roman"/>
          <w:sz w:val="24"/>
          <w:szCs w:val="24"/>
        </w:rPr>
        <w:t>Цель</w:t>
      </w:r>
    </w:p>
    <w:p w:rsidR="00000000" w:rsidRDefault="00B32D7E">
      <w:pPr>
        <w:pStyle w:val="IASBPrinciple"/>
        <w:ind w:left="780" w:hanging="780"/>
      </w:pPr>
      <w:r>
        <w:rPr>
          <w:sz w:val="24"/>
          <w:szCs w:val="24"/>
        </w:rPr>
        <w:t xml:space="preserve">1.           </w:t>
      </w:r>
      <w:r>
        <w:rPr>
          <w:sz w:val="24"/>
          <w:szCs w:val="24"/>
        </w:rPr>
        <w:t xml:space="preserve">Целью настоящего стандарта является определение правил учета инвестиций в ассоциированные организации и требований по применению метода долевого участия при учете инвестиций в ассоциированные организации и совместные предприятия. </w:t>
      </w:r>
    </w:p>
    <w:p w:rsidR="00000000" w:rsidRDefault="00B32D7E">
      <w:pPr>
        <w:pStyle w:val="IASBSectionTitleU"/>
      </w:pPr>
      <w:r>
        <w:rPr>
          <w:rFonts w:ascii="Times New Roman" w:hAnsi="Times New Roman" w:cs="Times New Roman"/>
          <w:sz w:val="24"/>
          <w:szCs w:val="24"/>
        </w:rPr>
        <w:t>Сфера применения</w:t>
      </w:r>
    </w:p>
    <w:p w:rsidR="00000000" w:rsidRDefault="00B32D7E">
      <w:pPr>
        <w:pStyle w:val="IASBPrinciple"/>
        <w:ind w:left="780" w:hanging="780"/>
      </w:pPr>
      <w:r>
        <w:rPr>
          <w:sz w:val="24"/>
          <w:szCs w:val="24"/>
        </w:rPr>
        <w:t>2.      </w:t>
      </w:r>
      <w:r>
        <w:rPr>
          <w:sz w:val="24"/>
          <w:szCs w:val="24"/>
        </w:rPr>
        <w:t xml:space="preserve">     Настоящий стандарт должен применяться всеми организациями, которые являются инвесторами, имеющими совместный контроль или значительное влияние по отношению к объекту инвестиций. </w:t>
      </w:r>
    </w:p>
    <w:p w:rsidR="00000000" w:rsidRDefault="00B32D7E">
      <w:pPr>
        <w:pStyle w:val="IASBSectionTitleU"/>
      </w:pPr>
      <w:r>
        <w:rPr>
          <w:rFonts w:ascii="Times New Roman" w:hAnsi="Times New Roman" w:cs="Times New Roman"/>
          <w:sz w:val="24"/>
          <w:szCs w:val="24"/>
        </w:rPr>
        <w:t>Определения</w:t>
      </w:r>
    </w:p>
    <w:p w:rsidR="00000000" w:rsidRDefault="00B32D7E">
      <w:pPr>
        <w:pStyle w:val="IASBPrinciple"/>
        <w:ind w:left="780" w:hanging="780"/>
      </w:pPr>
      <w:r>
        <w:rPr>
          <w:sz w:val="24"/>
          <w:szCs w:val="24"/>
        </w:rPr>
        <w:t>3.           В настоящем стандарте используются следующие те</w:t>
      </w:r>
      <w:r>
        <w:rPr>
          <w:sz w:val="24"/>
          <w:szCs w:val="24"/>
        </w:rPr>
        <w:t xml:space="preserve">рмины в указанных значениях: </w:t>
      </w:r>
    </w:p>
    <w:p w:rsidR="00000000" w:rsidRDefault="00B32D7E">
      <w:pPr>
        <w:pStyle w:val="IASBPrinciple"/>
        <w:ind w:left="780"/>
      </w:pPr>
      <w:r>
        <w:rPr>
          <w:i/>
          <w:iCs/>
          <w:sz w:val="24"/>
          <w:szCs w:val="24"/>
        </w:rPr>
        <w:t xml:space="preserve">Ассоциированная организация - </w:t>
      </w:r>
      <w:r>
        <w:rPr>
          <w:sz w:val="24"/>
          <w:szCs w:val="24"/>
        </w:rPr>
        <w:t xml:space="preserve">организация, на деятельность которой инвестор имеет значительное влияние.    </w:t>
      </w:r>
    </w:p>
    <w:p w:rsidR="00000000" w:rsidRDefault="00B32D7E">
      <w:pPr>
        <w:pStyle w:val="IASBPrinciple"/>
        <w:ind w:left="780"/>
      </w:pPr>
      <w:r>
        <w:rPr>
          <w:i/>
          <w:iCs/>
          <w:sz w:val="24"/>
          <w:szCs w:val="24"/>
        </w:rPr>
        <w:t>Консолидированная финансовая отчетность -</w:t>
      </w:r>
      <w:r>
        <w:rPr>
          <w:sz w:val="24"/>
          <w:szCs w:val="24"/>
        </w:rPr>
        <w:t xml:space="preserve"> финансовая отчетность группы, в которой активы, обязательства, капитал, дохо</w:t>
      </w:r>
      <w:r>
        <w:rPr>
          <w:sz w:val="24"/>
          <w:szCs w:val="24"/>
        </w:rPr>
        <w:t xml:space="preserve">д, расходы и денежные потоки материнской организации и ее дочерних организаций представляются как относящиеся к единому хозяйствующему субъекту. </w:t>
      </w:r>
    </w:p>
    <w:p w:rsidR="00000000" w:rsidRDefault="00B32D7E">
      <w:pPr>
        <w:pStyle w:val="IASBPrinciple"/>
        <w:ind w:left="780"/>
      </w:pPr>
      <w:r>
        <w:rPr>
          <w:i/>
          <w:iCs/>
          <w:sz w:val="24"/>
          <w:szCs w:val="24"/>
        </w:rPr>
        <w:t>Метод долевого участия -</w:t>
      </w:r>
      <w:r>
        <w:rPr>
          <w:sz w:val="24"/>
          <w:szCs w:val="24"/>
        </w:rPr>
        <w:t xml:space="preserve"> метод учета, при котором инвестиции первоначально признаются по первоначальной стоимо</w:t>
      </w:r>
      <w:r>
        <w:rPr>
          <w:sz w:val="24"/>
          <w:szCs w:val="24"/>
        </w:rPr>
        <w:t>сти, а затем их стоимость корректируется с учетом изменения доли инвестора в чистых активах объекта инвестиций после приобретения. Прибыль или убыток инвестора включает долю инвестора в прибыли или убытке объекта инвестиций, а прочий совокупный доход инвес</w:t>
      </w:r>
      <w:r>
        <w:rPr>
          <w:sz w:val="24"/>
          <w:szCs w:val="24"/>
        </w:rPr>
        <w:t xml:space="preserve">тора включает долю инвестора в прочем совокупном доходе объекта инвестиций. </w:t>
      </w:r>
    </w:p>
    <w:p w:rsidR="00000000" w:rsidRDefault="00B32D7E">
      <w:pPr>
        <w:pStyle w:val="IASBPrinciple"/>
        <w:ind w:left="780"/>
      </w:pPr>
      <w:r>
        <w:rPr>
          <w:i/>
          <w:iCs/>
          <w:sz w:val="24"/>
          <w:szCs w:val="24"/>
        </w:rPr>
        <w:t>Совместное предпринимательство</w:t>
      </w:r>
      <w:r>
        <w:rPr>
          <w:sz w:val="24"/>
          <w:szCs w:val="24"/>
        </w:rPr>
        <w:t xml:space="preserve"> - предпринимательская деятельность, которая контролируется совместно двумя или более сторонами.</w:t>
      </w:r>
    </w:p>
    <w:p w:rsidR="00000000" w:rsidRDefault="00B32D7E">
      <w:pPr>
        <w:pStyle w:val="IASBPrinciple"/>
        <w:ind w:left="780"/>
      </w:pPr>
      <w:r>
        <w:rPr>
          <w:i/>
          <w:iCs/>
          <w:sz w:val="24"/>
          <w:szCs w:val="24"/>
        </w:rPr>
        <w:t>Совместный контроль</w:t>
      </w:r>
      <w:r>
        <w:rPr>
          <w:sz w:val="24"/>
          <w:szCs w:val="24"/>
        </w:rPr>
        <w:t xml:space="preserve"> - предусмотренное договором разд</w:t>
      </w:r>
      <w:r>
        <w:rPr>
          <w:sz w:val="24"/>
          <w:szCs w:val="24"/>
        </w:rPr>
        <w:t>еление контроля над деятельностью, которое имеет место только когда принятие решений в отношении значимой деятельности требует единогласного согласия сторон, разделяющих контроль.</w:t>
      </w:r>
    </w:p>
    <w:p w:rsidR="00000000" w:rsidRDefault="00B32D7E">
      <w:pPr>
        <w:pStyle w:val="IASBPrinciple"/>
        <w:ind w:left="780"/>
      </w:pPr>
      <w:r>
        <w:rPr>
          <w:i/>
          <w:iCs/>
          <w:sz w:val="24"/>
          <w:szCs w:val="24"/>
        </w:rPr>
        <w:t xml:space="preserve">Совместное предприятие - </w:t>
      </w:r>
      <w:r>
        <w:rPr>
          <w:sz w:val="24"/>
          <w:szCs w:val="24"/>
        </w:rPr>
        <w:t>совместное предпринимательство, которое предполагае</w:t>
      </w:r>
      <w:r>
        <w:rPr>
          <w:sz w:val="24"/>
          <w:szCs w:val="24"/>
        </w:rPr>
        <w:t xml:space="preserve">т наличие у сторон, обладающих совместным контролем над деятельностью, прав на чистые активы деятельности. </w:t>
      </w:r>
    </w:p>
    <w:p w:rsidR="00000000" w:rsidRDefault="00B32D7E">
      <w:pPr>
        <w:pStyle w:val="IASBPrinciple"/>
        <w:ind w:left="780"/>
      </w:pPr>
      <w:r>
        <w:rPr>
          <w:i/>
          <w:iCs/>
          <w:sz w:val="24"/>
          <w:szCs w:val="24"/>
        </w:rPr>
        <w:t xml:space="preserve">Участник совместного предприятия </w:t>
      </w:r>
      <w:r>
        <w:rPr>
          <w:sz w:val="24"/>
          <w:szCs w:val="24"/>
        </w:rPr>
        <w:t>- сторона совместного предприятия, обладающая совместным контролем над таким совместным предприятием.</w:t>
      </w:r>
    </w:p>
    <w:p w:rsidR="00000000" w:rsidRDefault="00B32D7E">
      <w:pPr>
        <w:pStyle w:val="IASBPrinciple"/>
        <w:ind w:left="780"/>
      </w:pPr>
      <w:r>
        <w:rPr>
          <w:i/>
          <w:iCs/>
          <w:sz w:val="24"/>
          <w:szCs w:val="24"/>
        </w:rPr>
        <w:t xml:space="preserve">Значительное </w:t>
      </w:r>
      <w:r>
        <w:rPr>
          <w:i/>
          <w:iCs/>
          <w:sz w:val="24"/>
          <w:szCs w:val="24"/>
        </w:rPr>
        <w:t>влияние -</w:t>
      </w:r>
      <w:r>
        <w:rPr>
          <w:sz w:val="24"/>
          <w:szCs w:val="24"/>
        </w:rPr>
        <w:t xml:space="preserve"> полномочие участвовать в принятии решений по финансовой и операционной политике объекта инвестиций, но не контролировать или совместно контролировать эту политику.</w:t>
      </w:r>
    </w:p>
    <w:p w:rsidR="00000000" w:rsidRDefault="00B32D7E">
      <w:pPr>
        <w:pStyle w:val="IASBNormal"/>
        <w:ind w:left="780" w:hanging="780"/>
      </w:pPr>
      <w:r>
        <w:rPr>
          <w:sz w:val="24"/>
          <w:szCs w:val="24"/>
        </w:rPr>
        <w:t xml:space="preserve">4.           Следующие термины определены в </w:t>
      </w:r>
      <w:hyperlink r:id="rId7" w:anchor="sub_id=400" w:history="1">
        <w:r>
          <w:rPr>
            <w:rStyle w:val="a3"/>
            <w:sz w:val="24"/>
            <w:szCs w:val="24"/>
          </w:rPr>
          <w:t>пункте 4</w:t>
        </w:r>
      </w:hyperlink>
      <w:r>
        <w:rPr>
          <w:sz w:val="24"/>
          <w:szCs w:val="24"/>
        </w:rPr>
        <w:t xml:space="preserve"> МСФО (IAS) 27 </w:t>
      </w:r>
      <w:r>
        <w:rPr>
          <w:i/>
          <w:iCs/>
          <w:sz w:val="24"/>
          <w:szCs w:val="24"/>
        </w:rPr>
        <w:t>«Отдельная финансовая отчетность»</w:t>
      </w:r>
      <w:r>
        <w:rPr>
          <w:sz w:val="24"/>
          <w:szCs w:val="24"/>
        </w:rPr>
        <w:t xml:space="preserve"> и в </w:t>
      </w:r>
      <w:hyperlink r:id="rId8" w:anchor="sub_id=1" w:history="1">
        <w:r>
          <w:rPr>
            <w:rStyle w:val="a3"/>
            <w:sz w:val="24"/>
            <w:szCs w:val="24"/>
          </w:rPr>
          <w:t>Приложении A</w:t>
        </w:r>
      </w:hyperlink>
      <w:r>
        <w:rPr>
          <w:sz w:val="24"/>
          <w:szCs w:val="24"/>
        </w:rPr>
        <w:t xml:space="preserve"> МСФО (IFRS) 10 </w:t>
      </w:r>
      <w:r>
        <w:rPr>
          <w:i/>
          <w:iCs/>
          <w:sz w:val="24"/>
          <w:szCs w:val="24"/>
        </w:rPr>
        <w:t>«Консолидированная финансовая отчетность»</w:t>
      </w:r>
      <w:r>
        <w:rPr>
          <w:sz w:val="24"/>
          <w:szCs w:val="24"/>
        </w:rPr>
        <w:t xml:space="preserve"> и и</w:t>
      </w:r>
      <w:r>
        <w:rPr>
          <w:sz w:val="24"/>
          <w:szCs w:val="24"/>
        </w:rPr>
        <w:t>спользуются в настоящем стандарте в значениях, указанных в МСФО, в которых они определены:</w:t>
      </w:r>
    </w:p>
    <w:p w:rsidR="00000000" w:rsidRDefault="00B32D7E">
      <w:pPr>
        <w:pStyle w:val="IASBNormal"/>
        <w:ind w:left="1560" w:hanging="780"/>
      </w:pPr>
      <w:r>
        <w:rPr>
          <w:sz w:val="24"/>
          <w:szCs w:val="24"/>
        </w:rPr>
        <w:t>•            контроль над объектом инвестиций;</w:t>
      </w:r>
    </w:p>
    <w:p w:rsidR="00000000" w:rsidRDefault="00B32D7E">
      <w:pPr>
        <w:pStyle w:val="IASBNormal"/>
        <w:ind w:left="1560" w:hanging="780"/>
      </w:pPr>
      <w:r>
        <w:rPr>
          <w:sz w:val="24"/>
          <w:szCs w:val="24"/>
        </w:rPr>
        <w:t>•            группа;</w:t>
      </w:r>
    </w:p>
    <w:p w:rsidR="00000000" w:rsidRDefault="00B32D7E">
      <w:pPr>
        <w:pStyle w:val="IASBNormal"/>
        <w:ind w:left="1560" w:hanging="780"/>
      </w:pPr>
      <w:r>
        <w:rPr>
          <w:sz w:val="24"/>
          <w:szCs w:val="24"/>
        </w:rPr>
        <w:t>•            материнская организация;</w:t>
      </w:r>
    </w:p>
    <w:p w:rsidR="00000000" w:rsidRDefault="00B32D7E">
      <w:pPr>
        <w:pStyle w:val="IASBNormal"/>
        <w:ind w:left="1560" w:hanging="780"/>
      </w:pPr>
      <w:r>
        <w:rPr>
          <w:sz w:val="24"/>
          <w:szCs w:val="24"/>
        </w:rPr>
        <w:t>•            отдельная финансовая отчетность;</w:t>
      </w:r>
    </w:p>
    <w:p w:rsidR="00000000" w:rsidRDefault="00B32D7E">
      <w:pPr>
        <w:pStyle w:val="IASBNormal"/>
        <w:ind w:left="1560" w:hanging="780"/>
      </w:pPr>
      <w:r>
        <w:rPr>
          <w:sz w:val="24"/>
          <w:szCs w:val="24"/>
        </w:rPr>
        <w:t xml:space="preserve">•            </w:t>
      </w:r>
      <w:r>
        <w:rPr>
          <w:sz w:val="24"/>
          <w:szCs w:val="24"/>
        </w:rPr>
        <w:t>дочерняя организация.</w:t>
      </w:r>
    </w:p>
    <w:p w:rsidR="00000000" w:rsidRDefault="00B32D7E">
      <w:pPr>
        <w:pStyle w:val="IASBSectionTitleU"/>
      </w:pPr>
      <w:r>
        <w:rPr>
          <w:rFonts w:ascii="Times New Roman" w:hAnsi="Times New Roman" w:cs="Times New Roman"/>
          <w:sz w:val="24"/>
          <w:szCs w:val="24"/>
        </w:rPr>
        <w:t xml:space="preserve">Значительное влияние </w:t>
      </w:r>
    </w:p>
    <w:p w:rsidR="00000000" w:rsidRDefault="00B32D7E">
      <w:pPr>
        <w:pStyle w:val="IASBNormal"/>
        <w:ind w:left="780" w:hanging="780"/>
      </w:pPr>
      <w:r>
        <w:rPr>
          <w:sz w:val="24"/>
          <w:szCs w:val="24"/>
        </w:rPr>
        <w:t>5.           Если организации прямо или косвенно (например, через дочерние организации) принадлежит 20 или более процентов прав голоса в отношении объекта инвестиций, то считается, что организация имеет значитель</w:t>
      </w:r>
      <w:r>
        <w:rPr>
          <w:sz w:val="24"/>
          <w:szCs w:val="24"/>
        </w:rPr>
        <w:t>ное влияние, за исключением случаев, когда существуют убедительные доказательства обратного. Однако, если организации прямо или косвенно (например, через дочерние организации) принадлежит менее 20 процентов прав голоса в отношении объекта инвестиций, то сч</w:t>
      </w:r>
      <w:r>
        <w:rPr>
          <w:sz w:val="24"/>
          <w:szCs w:val="24"/>
        </w:rPr>
        <w:t>итается, что организация не имеет значительного влияния, за исключением случаев, когда существуют убедительные доказательства обратного. Наличие крупного или контрольного пакета акций, принадлежащего другому инвестору, не обязательно исключает наличие у ор</w:t>
      </w:r>
      <w:r>
        <w:rPr>
          <w:sz w:val="24"/>
          <w:szCs w:val="24"/>
        </w:rPr>
        <w:t>ганизации значительного влияния.</w:t>
      </w:r>
    </w:p>
    <w:p w:rsidR="00000000" w:rsidRDefault="00B32D7E">
      <w:pPr>
        <w:pStyle w:val="IASBNormal"/>
        <w:ind w:left="780" w:hanging="780"/>
      </w:pPr>
      <w:r>
        <w:rPr>
          <w:sz w:val="24"/>
          <w:szCs w:val="24"/>
        </w:rPr>
        <w:t xml:space="preserve">6.           Наличие у организации значительного влияния обычно подтверждается одним или несколькими из следующих фактов: </w:t>
      </w:r>
    </w:p>
    <w:p w:rsidR="00000000" w:rsidRDefault="00B32D7E">
      <w:pPr>
        <w:pStyle w:val="IASBNormal"/>
        <w:ind w:left="1560" w:hanging="780"/>
      </w:pPr>
      <w:r>
        <w:rPr>
          <w:sz w:val="24"/>
          <w:szCs w:val="24"/>
        </w:rPr>
        <w:t>(a)         представительство в совете директоров или аналогичном органе управления объектом инвести</w:t>
      </w:r>
      <w:r>
        <w:rPr>
          <w:sz w:val="24"/>
          <w:szCs w:val="24"/>
        </w:rPr>
        <w:t>ций;</w:t>
      </w:r>
    </w:p>
    <w:p w:rsidR="00000000" w:rsidRDefault="00B32D7E">
      <w:pPr>
        <w:pStyle w:val="IASBNormal"/>
        <w:ind w:left="1560" w:hanging="780"/>
      </w:pPr>
      <w:r>
        <w:rPr>
          <w:sz w:val="24"/>
          <w:szCs w:val="24"/>
        </w:rPr>
        <w:t>(b)         участие в процессе выработки политики, в том числе участие в принятии решений о выплате дивидендов или ином распределении прибыли;</w:t>
      </w:r>
    </w:p>
    <w:p w:rsidR="00000000" w:rsidRDefault="00B32D7E">
      <w:pPr>
        <w:pStyle w:val="IASBNormal"/>
        <w:ind w:left="1560" w:hanging="780"/>
      </w:pPr>
      <w:r>
        <w:rPr>
          <w:sz w:val="24"/>
          <w:szCs w:val="24"/>
        </w:rPr>
        <w:t>(c)         наличие существенных операций между организацией и ее объектом инвестиций;</w:t>
      </w:r>
    </w:p>
    <w:p w:rsidR="00000000" w:rsidRDefault="00B32D7E">
      <w:pPr>
        <w:pStyle w:val="IASBNormal"/>
        <w:ind w:left="1560" w:hanging="780"/>
      </w:pPr>
      <w:r>
        <w:rPr>
          <w:sz w:val="24"/>
          <w:szCs w:val="24"/>
        </w:rPr>
        <w:t xml:space="preserve">(d)        </w:t>
      </w:r>
      <w:r>
        <w:rPr>
          <w:sz w:val="24"/>
          <w:szCs w:val="24"/>
        </w:rPr>
        <w:t>обмен руководящим персоналом; или</w:t>
      </w:r>
    </w:p>
    <w:p w:rsidR="00000000" w:rsidRDefault="00B32D7E">
      <w:pPr>
        <w:pStyle w:val="IASBNormal"/>
        <w:ind w:left="1560" w:hanging="780"/>
      </w:pPr>
      <w:r>
        <w:rPr>
          <w:sz w:val="24"/>
          <w:szCs w:val="24"/>
        </w:rPr>
        <w:t>(e)         предоставление важной технической информации.</w:t>
      </w:r>
    </w:p>
    <w:p w:rsidR="00000000" w:rsidRDefault="00B32D7E">
      <w:pPr>
        <w:pStyle w:val="IASBNormal"/>
        <w:ind w:left="780" w:hanging="780"/>
      </w:pPr>
      <w:r>
        <w:rPr>
          <w:sz w:val="24"/>
          <w:szCs w:val="24"/>
        </w:rPr>
        <w:t>7.           Организация может владеть варрантами на акции, опционами на покупку акций, долговыми или долевыми инструментами, которые могут быть конвертированы в об</w:t>
      </w:r>
      <w:r>
        <w:rPr>
          <w:sz w:val="24"/>
          <w:szCs w:val="24"/>
        </w:rPr>
        <w:t>ыкновенные акции, или другими аналогичными инструментами, которые в случае исполнения или конвертации могут обеспечить организации дополнительные права голоса или сократить права голоса другой стороны в отношении финансовой и операционной политики другой о</w:t>
      </w:r>
      <w:r>
        <w:rPr>
          <w:sz w:val="24"/>
          <w:szCs w:val="24"/>
        </w:rPr>
        <w:t>рганизации (то есть потенциальные права голоса). Наличие и влияние потенциальных прав голоса, которые на текущий момент являются реализуемыми или конвертируемыми, включая потенциальные права голоса других организаций, являются факторами, которые должны учи</w:t>
      </w:r>
      <w:r>
        <w:rPr>
          <w:sz w:val="24"/>
          <w:szCs w:val="24"/>
        </w:rPr>
        <w:t xml:space="preserve">тываться при оценке того, имеет ли организация значительное влияние. Потенциальные права голоса не являются реализуемыми или конвертируемыми на текущий момент, если они, например, не могут быть реализованы или конвертированы до определенной даты в будущем </w:t>
      </w:r>
      <w:r>
        <w:rPr>
          <w:sz w:val="24"/>
          <w:szCs w:val="24"/>
        </w:rPr>
        <w:t>или до наступления определенного события.</w:t>
      </w:r>
    </w:p>
    <w:p w:rsidR="00000000" w:rsidRDefault="00B32D7E">
      <w:pPr>
        <w:pStyle w:val="IASBNormal"/>
        <w:ind w:left="780" w:hanging="780"/>
      </w:pPr>
      <w:r>
        <w:rPr>
          <w:sz w:val="24"/>
          <w:szCs w:val="24"/>
        </w:rPr>
        <w:t>8.           Производя оценку того, приводят ли потенциальные права голоса к наличию значительного влияния, организация должна проанализировать все факты и обстоятельства (включая условия реализации потенциальных п</w:t>
      </w:r>
      <w:r>
        <w:rPr>
          <w:sz w:val="24"/>
          <w:szCs w:val="24"/>
        </w:rPr>
        <w:t>рав голоса и другие соглашения, рассматриваемые как по отдельности, так и в совокупности), которые влияют на потенциальные права, за исключением намерений руководства и финансовой возможности реализовать или конвертировать эти потенциальные права.</w:t>
      </w:r>
    </w:p>
    <w:p w:rsidR="00000000" w:rsidRDefault="00B32D7E">
      <w:pPr>
        <w:pStyle w:val="IASBNormal"/>
        <w:ind w:left="780" w:hanging="780"/>
      </w:pPr>
      <w:r>
        <w:rPr>
          <w:sz w:val="24"/>
          <w:szCs w:val="24"/>
        </w:rPr>
        <w:t>9.      </w:t>
      </w:r>
      <w:r>
        <w:rPr>
          <w:sz w:val="24"/>
          <w:szCs w:val="24"/>
        </w:rPr>
        <w:t>     Организация утрачивает значительное влияние над деятельностью объекта инвестиций при утрате права участвовать в принятии решений по вопросам финансовой и операционной политики этого объекта инвестиций. Утрата значительного влияния может сопровождаться</w:t>
      </w:r>
      <w:r>
        <w:rPr>
          <w:sz w:val="24"/>
          <w:szCs w:val="24"/>
        </w:rPr>
        <w:t xml:space="preserve"> или не сопровождаться изменением абсолютных или относительных долей участия. Например, это может произойти в том случае, если ассоциированная организация становится объектом контроля со стороны государства, судебного, административного или регулирующего о</w:t>
      </w:r>
      <w:r>
        <w:rPr>
          <w:sz w:val="24"/>
          <w:szCs w:val="24"/>
        </w:rPr>
        <w:t>ргана. Это также может произойти в результате заключения  договора.</w:t>
      </w:r>
    </w:p>
    <w:p w:rsidR="00000000" w:rsidRDefault="00B32D7E">
      <w:pPr>
        <w:pStyle w:val="IASBSectionTitleU"/>
      </w:pPr>
      <w:r>
        <w:rPr>
          <w:rFonts w:ascii="Times New Roman" w:hAnsi="Times New Roman" w:cs="Times New Roman"/>
          <w:sz w:val="24"/>
          <w:szCs w:val="24"/>
        </w:rPr>
        <w:t xml:space="preserve">Метод долевого участия </w:t>
      </w:r>
    </w:p>
    <w:p w:rsidR="00000000" w:rsidRDefault="00B32D7E">
      <w:pPr>
        <w:pStyle w:val="IASBNormal"/>
        <w:ind w:left="780" w:hanging="780"/>
      </w:pPr>
      <w:r>
        <w:rPr>
          <w:sz w:val="24"/>
          <w:szCs w:val="24"/>
        </w:rPr>
        <w:t xml:space="preserve">10.         </w:t>
      </w:r>
      <w:r>
        <w:rPr>
          <w:sz w:val="24"/>
          <w:szCs w:val="24"/>
        </w:rPr>
        <w:t>В соответствии с методом долевого участия при первоначальном признании инвестиции в ассоциированную организацию или совместное предприятие признаются по первоначальной стоимости, а затем их балансовая стоимость увеличивается или уменьшается за счет признан</w:t>
      </w:r>
      <w:r>
        <w:rPr>
          <w:sz w:val="24"/>
          <w:szCs w:val="24"/>
        </w:rPr>
        <w:t>ия доли инвестора в прибыли или убытке объекта инвестиций после даты приобретения. Доля инвестора в прибыли или убытке объекта инвестиций признается в составе прибыли или убытка инвестора. Средства, полученные от объекта инвестиций в результате распределен</w:t>
      </w:r>
      <w:r>
        <w:rPr>
          <w:sz w:val="24"/>
          <w:szCs w:val="24"/>
        </w:rPr>
        <w:t>ия прибыли, уменьшают балансовую стоимость инвестиций. Корректировка балансовой стоимости инвестиций также может быть необходима для отражения изменений в пропорциональной доле участия инвестора в объекте инвестиций, возникающих в связи с изменениями в про</w:t>
      </w:r>
      <w:r>
        <w:rPr>
          <w:sz w:val="24"/>
          <w:szCs w:val="24"/>
        </w:rPr>
        <w:t>чем совокупном доходе объекта инвестиций. Такие изменения возникают, в частности, в связи с переоценкой основных средств и в связи с курсовыми разницами от пересчета валют. Доля инвестора в этих изменениях признается в составе прочего совокупного дохода ин</w:t>
      </w:r>
      <w:r>
        <w:rPr>
          <w:sz w:val="24"/>
          <w:szCs w:val="24"/>
        </w:rPr>
        <w:t xml:space="preserve">вестора (см. </w:t>
      </w:r>
      <w:hyperlink r:id="rId9" w:history="1">
        <w:r>
          <w:rPr>
            <w:rStyle w:val="a3"/>
            <w:sz w:val="24"/>
            <w:szCs w:val="24"/>
          </w:rPr>
          <w:t>МСФО (IAS) 1</w:t>
        </w:r>
      </w:hyperlink>
      <w:r>
        <w:rPr>
          <w:sz w:val="24"/>
          <w:szCs w:val="24"/>
        </w:rPr>
        <w:t xml:space="preserve"> </w:t>
      </w:r>
      <w:r>
        <w:rPr>
          <w:i/>
          <w:iCs/>
          <w:sz w:val="24"/>
          <w:szCs w:val="24"/>
        </w:rPr>
        <w:t>«Представление финансовой отчетности»</w:t>
      </w:r>
      <w:r>
        <w:rPr>
          <w:sz w:val="24"/>
          <w:szCs w:val="24"/>
        </w:rPr>
        <w:t>).</w:t>
      </w:r>
    </w:p>
    <w:p w:rsidR="00000000" w:rsidRDefault="00B32D7E">
      <w:pPr>
        <w:pStyle w:val="IASBNormal"/>
        <w:ind w:left="780" w:hanging="780"/>
      </w:pPr>
      <w:r>
        <w:rPr>
          <w:sz w:val="24"/>
          <w:szCs w:val="24"/>
        </w:rPr>
        <w:t>11.         Признание дохода исходя из полученного распределения прибыли может не являться адекватной основой для оценки доход</w:t>
      </w:r>
      <w:r>
        <w:rPr>
          <w:sz w:val="24"/>
          <w:szCs w:val="24"/>
        </w:rPr>
        <w:t>а инвестора от инвестиций в ассоциированную организацию или совместное предприятие, поскольку средства, полученные в результате распределения прибыли, могут лишь в малой мере отражать результаты деятельности ассоциированной организации или совместного пред</w:t>
      </w:r>
      <w:r>
        <w:rPr>
          <w:sz w:val="24"/>
          <w:szCs w:val="24"/>
        </w:rPr>
        <w:t>приятия. Поскольку инвестор имеет совместный контроль или оказывает значительное влияние на объект инвестиций, инвестор заинтересован в результатах деятельности ассоциированной организации или совместного предприятия и, следовательно, в доходности своих ин</w:t>
      </w:r>
      <w:r>
        <w:rPr>
          <w:sz w:val="24"/>
          <w:szCs w:val="24"/>
        </w:rPr>
        <w:t xml:space="preserve">вестиций. Инвестор отражает свою заинтересованность путем включения в финансовую отчетность своей доли в прибыли или убытке такого объекта инвестиций. Применение метода долевого участия повышает информативность финансовой отчетности в части чистых активов </w:t>
      </w:r>
      <w:r>
        <w:rPr>
          <w:sz w:val="24"/>
          <w:szCs w:val="24"/>
        </w:rPr>
        <w:t>и прибыли или убытка инвестора.</w:t>
      </w:r>
    </w:p>
    <w:p w:rsidR="00000000" w:rsidRDefault="00B32D7E">
      <w:pPr>
        <w:pStyle w:val="IASBNormal"/>
        <w:ind w:left="780" w:hanging="780"/>
      </w:pPr>
      <w:r>
        <w:rPr>
          <w:sz w:val="24"/>
          <w:szCs w:val="24"/>
        </w:rPr>
        <w:t>12.         При наличии потенциальных прав голоса или прочих производных инструментов, содержащих потенциальные права голоса, доля организации в ассоциированной организации или совместном предприятии определяется исключитель</w:t>
      </w:r>
      <w:r>
        <w:rPr>
          <w:sz w:val="24"/>
          <w:szCs w:val="24"/>
        </w:rPr>
        <w:t xml:space="preserve">но на основе существующих долей владения и не отражает возможную реализацию или конвертацию потенциальных прав голоса и прочих производных инструментов, если не применяется </w:t>
      </w:r>
      <w:hyperlink r:id="rId10" w:anchor="sub_id=1300" w:history="1">
        <w:r>
          <w:rPr>
            <w:rStyle w:val="a3"/>
            <w:sz w:val="24"/>
            <w:szCs w:val="24"/>
          </w:rPr>
          <w:t>пу</w:t>
        </w:r>
        <w:r>
          <w:rPr>
            <w:rStyle w:val="a3"/>
            <w:sz w:val="24"/>
            <w:szCs w:val="24"/>
          </w:rPr>
          <w:t>нкт 13</w:t>
        </w:r>
      </w:hyperlink>
      <w:r>
        <w:rPr>
          <w:sz w:val="24"/>
          <w:szCs w:val="24"/>
        </w:rPr>
        <w:t>.</w:t>
      </w:r>
    </w:p>
    <w:p w:rsidR="00000000" w:rsidRDefault="00B32D7E">
      <w:pPr>
        <w:pStyle w:val="IASBNormal"/>
        <w:ind w:left="780" w:hanging="780"/>
      </w:pPr>
      <w:r>
        <w:rPr>
          <w:sz w:val="24"/>
          <w:szCs w:val="24"/>
        </w:rPr>
        <w:t xml:space="preserve">13.         При некоторых обстоятельствах организация, по сути, может иметь действительное владение в результате операции, которое в текущий момент дает ей доступ к доходам, связанным с долей владения. При таких обстоятельствах доля, отнесенная на </w:t>
      </w:r>
      <w:r>
        <w:rPr>
          <w:sz w:val="24"/>
          <w:szCs w:val="24"/>
        </w:rPr>
        <w:t>организацию, определяется с учетом возможной реализации потенциального права голоса и других производных инструментов, которые, в текущий момент, дают организации доступ к доходам.</w:t>
      </w:r>
    </w:p>
    <w:p w:rsidR="00000000" w:rsidRDefault="00B32D7E">
      <w:pPr>
        <w:pStyle w:val="IASBNormal"/>
        <w:ind w:left="780" w:hanging="780"/>
      </w:pPr>
      <w:r>
        <w:rPr>
          <w:sz w:val="24"/>
          <w:szCs w:val="24"/>
        </w:rPr>
        <w:t xml:space="preserve">14.         </w:t>
      </w:r>
      <w:hyperlink r:id="rId11" w:history="1">
        <w:r>
          <w:rPr>
            <w:rStyle w:val="a3"/>
            <w:sz w:val="24"/>
            <w:szCs w:val="24"/>
          </w:rPr>
          <w:t>МСФО (IFRS) 9</w:t>
        </w:r>
      </w:hyperlink>
      <w:r>
        <w:rPr>
          <w:sz w:val="24"/>
          <w:szCs w:val="24"/>
        </w:rPr>
        <w:t xml:space="preserve"> </w:t>
      </w:r>
      <w:r>
        <w:rPr>
          <w:i/>
          <w:iCs/>
          <w:sz w:val="24"/>
          <w:szCs w:val="24"/>
        </w:rPr>
        <w:t>«Финансовые инструменты»</w:t>
      </w:r>
      <w:r>
        <w:rPr>
          <w:sz w:val="24"/>
          <w:szCs w:val="24"/>
        </w:rPr>
        <w:t xml:space="preserve"> не применяется к доле участия в ассоциированных организациях и совместных предприятиях, которая учитывается с использованием метода долевого участия. Если инструменты, содержащие потенциальные права голоса на текущи</w:t>
      </w:r>
      <w:r>
        <w:rPr>
          <w:sz w:val="24"/>
          <w:szCs w:val="24"/>
        </w:rPr>
        <w:t xml:space="preserve">й момент по существу дают доступ к доходам, связанным с долей владения в ассоциированной организации или совместном предприятии, то эти инструменты не попадают под действие </w:t>
      </w:r>
      <w:hyperlink r:id="rId12" w:history="1">
        <w:r>
          <w:rPr>
            <w:rStyle w:val="a3"/>
            <w:sz w:val="24"/>
            <w:szCs w:val="24"/>
          </w:rPr>
          <w:t>МСФО (IFRS) 9</w:t>
        </w:r>
      </w:hyperlink>
      <w:r>
        <w:rPr>
          <w:sz w:val="24"/>
          <w:szCs w:val="24"/>
        </w:rPr>
        <w:t xml:space="preserve">. Во </w:t>
      </w:r>
      <w:r>
        <w:rPr>
          <w:sz w:val="24"/>
          <w:szCs w:val="24"/>
        </w:rPr>
        <w:t xml:space="preserve">всех остальных случаях инструменты с потенциальными правами голоса в ассоциированной организации или совместном предприятии учитываются в соответствии с </w:t>
      </w:r>
      <w:hyperlink r:id="rId13" w:history="1">
        <w:r>
          <w:rPr>
            <w:rStyle w:val="a3"/>
            <w:sz w:val="24"/>
            <w:szCs w:val="24"/>
          </w:rPr>
          <w:t>МСФО (IFRS) 9</w:t>
        </w:r>
      </w:hyperlink>
      <w:r>
        <w:rPr>
          <w:sz w:val="24"/>
          <w:szCs w:val="24"/>
        </w:rPr>
        <w:t>.</w:t>
      </w:r>
    </w:p>
    <w:p w:rsidR="00000000" w:rsidRDefault="00B32D7E">
      <w:pPr>
        <w:pStyle w:val="IASBNormal"/>
        <w:ind w:left="780" w:hanging="780"/>
      </w:pPr>
      <w:r>
        <w:rPr>
          <w:sz w:val="24"/>
          <w:szCs w:val="24"/>
        </w:rPr>
        <w:t>15.         Если инвест</w:t>
      </w:r>
      <w:r>
        <w:rPr>
          <w:sz w:val="24"/>
          <w:szCs w:val="24"/>
        </w:rPr>
        <w:t xml:space="preserve">иция или какая-то доля инвестиции в ассоциированную организацию или совместное предприятие не классифицируется как предназначенная для продажи в соответствии с МСФО (IFRS) 5 </w:t>
      </w:r>
      <w:r>
        <w:rPr>
          <w:i/>
          <w:iCs/>
          <w:sz w:val="24"/>
          <w:szCs w:val="24"/>
        </w:rPr>
        <w:t>«Внеоборотные активы, предназначенные для продажи, и прекращенная деятельность»</w:t>
      </w:r>
      <w:r>
        <w:rPr>
          <w:sz w:val="24"/>
          <w:szCs w:val="24"/>
        </w:rPr>
        <w:t>, т</w:t>
      </w:r>
      <w:r>
        <w:rPr>
          <w:sz w:val="24"/>
          <w:szCs w:val="24"/>
        </w:rPr>
        <w:t>о инвестиция или любая оставшаяся доля в инвестиции, не классифицируемая как предназначенная для продажи, должна классифицироваться как внеоборотный актив.</w:t>
      </w:r>
    </w:p>
    <w:p w:rsidR="00000000" w:rsidRDefault="00B32D7E">
      <w:pPr>
        <w:pStyle w:val="IASBSectionTitleU"/>
      </w:pPr>
      <w:r>
        <w:rPr>
          <w:rFonts w:ascii="Times New Roman" w:hAnsi="Times New Roman" w:cs="Times New Roman"/>
          <w:sz w:val="24"/>
          <w:szCs w:val="24"/>
        </w:rPr>
        <w:t>Применение метода долевого участия</w:t>
      </w:r>
    </w:p>
    <w:p w:rsidR="00000000" w:rsidRDefault="00B32D7E">
      <w:pPr>
        <w:pStyle w:val="IASBNormal"/>
        <w:ind w:left="780" w:hanging="780"/>
      </w:pPr>
      <w:r>
        <w:rPr>
          <w:sz w:val="24"/>
          <w:szCs w:val="24"/>
        </w:rPr>
        <w:t>16.         Организация с совместным контролем или значительным в</w:t>
      </w:r>
      <w:r>
        <w:rPr>
          <w:sz w:val="24"/>
          <w:szCs w:val="24"/>
        </w:rPr>
        <w:t>лиянием над объектом инвестиций должна учитывать свои инвестиции в ассоциированную организацию или совместное предприятие, используя метод долевого участия, за исключением случаев, когда организация освобождается от учета таких инвестиций по методу долевог</w:t>
      </w:r>
      <w:r>
        <w:rPr>
          <w:sz w:val="24"/>
          <w:szCs w:val="24"/>
        </w:rPr>
        <w:t xml:space="preserve">о участия в соответствии с </w:t>
      </w:r>
      <w:hyperlink w:anchor="sub1700" w:history="1">
        <w:r>
          <w:rPr>
            <w:rStyle w:val="a3"/>
            <w:sz w:val="24"/>
            <w:szCs w:val="24"/>
          </w:rPr>
          <w:t>пунктами 17</w:t>
        </w:r>
        <w:r>
          <w:rPr>
            <w:rStyle w:val="a3"/>
            <w:i/>
            <w:iCs/>
            <w:sz w:val="24"/>
            <w:szCs w:val="24"/>
          </w:rPr>
          <w:t>-</w:t>
        </w:r>
        <w:r>
          <w:rPr>
            <w:rStyle w:val="a3"/>
            <w:sz w:val="24"/>
            <w:szCs w:val="24"/>
          </w:rPr>
          <w:t>19</w:t>
        </w:r>
      </w:hyperlink>
      <w:r>
        <w:rPr>
          <w:sz w:val="24"/>
          <w:szCs w:val="24"/>
        </w:rPr>
        <w:t xml:space="preserve">. </w:t>
      </w:r>
    </w:p>
    <w:p w:rsidR="00000000" w:rsidRDefault="00B32D7E">
      <w:pPr>
        <w:pStyle w:val="DaveIASBSubsectionTitle"/>
      </w:pPr>
      <w:r>
        <w:rPr>
          <w:rFonts w:ascii="Times New Roman" w:hAnsi="Times New Roman" w:cs="Times New Roman"/>
          <w:sz w:val="24"/>
          <w:szCs w:val="24"/>
        </w:rPr>
        <w:t>Освобождение от применения метода долевого участия</w:t>
      </w:r>
    </w:p>
    <w:p w:rsidR="00000000" w:rsidRDefault="00B32D7E">
      <w:pPr>
        <w:pStyle w:val="IASBNormal"/>
        <w:ind w:left="780" w:hanging="780"/>
      </w:pPr>
      <w:bookmarkStart w:id="1" w:name="SUB1700"/>
      <w:bookmarkEnd w:id="1"/>
      <w:r>
        <w:rPr>
          <w:sz w:val="24"/>
          <w:szCs w:val="24"/>
        </w:rPr>
        <w:t>17.         Организация может не применять метод долевого участия при учете своих инвестиций в ассоциированную организацию или совм</w:t>
      </w:r>
      <w:r>
        <w:rPr>
          <w:sz w:val="24"/>
          <w:szCs w:val="24"/>
        </w:rPr>
        <w:t xml:space="preserve">естное предприятие, если организация является материнской организацией, которая освобождена от составления консолидированной финансовой отчетности согласно исключению, указанному в сфере применения </w:t>
      </w:r>
      <w:hyperlink r:id="rId14" w:anchor="sub_id=400" w:history="1">
        <w:r>
          <w:rPr>
            <w:rStyle w:val="a3"/>
            <w:sz w:val="24"/>
            <w:szCs w:val="24"/>
          </w:rPr>
          <w:t>пункта 4(a)</w:t>
        </w:r>
      </w:hyperlink>
      <w:r>
        <w:rPr>
          <w:sz w:val="24"/>
          <w:szCs w:val="24"/>
        </w:rPr>
        <w:t xml:space="preserve"> МСФО (IFRS) 10, или если верны все перечисленные ниже положения:</w:t>
      </w:r>
    </w:p>
    <w:p w:rsidR="00000000" w:rsidRDefault="00B32D7E">
      <w:pPr>
        <w:pStyle w:val="IASBNormal"/>
        <w:ind w:left="1560" w:hanging="780"/>
      </w:pPr>
      <w:r>
        <w:rPr>
          <w:sz w:val="24"/>
          <w:szCs w:val="24"/>
        </w:rPr>
        <w:t>(a)         Организация является дочерней организацией, находящейся в полной или частичной собственности другой организации, и при этом ее прочие собственни</w:t>
      </w:r>
      <w:r>
        <w:rPr>
          <w:sz w:val="24"/>
          <w:szCs w:val="24"/>
        </w:rPr>
        <w:t>ки, в том числе и те, которые в других случаях не имели бы права голоса, были проинформированы о том, что организация не применяет метод долевого участия и не возражают против этого.</w:t>
      </w:r>
    </w:p>
    <w:p w:rsidR="00000000" w:rsidRDefault="00B32D7E">
      <w:pPr>
        <w:pStyle w:val="IASBNormal"/>
        <w:ind w:left="1560" w:hanging="780"/>
      </w:pPr>
      <w:r>
        <w:rPr>
          <w:sz w:val="24"/>
          <w:szCs w:val="24"/>
        </w:rPr>
        <w:t>(b)         Долговые или долевые инструменты организации не обращаются на</w:t>
      </w:r>
      <w:r>
        <w:rPr>
          <w:sz w:val="24"/>
          <w:szCs w:val="24"/>
        </w:rPr>
        <w:t xml:space="preserve"> открытом рынке (на внутренней или зарубежной фондовой бирже или на внебиржевом рынке, включая местные и региональные рынки).</w:t>
      </w:r>
    </w:p>
    <w:p w:rsidR="00000000" w:rsidRDefault="00B32D7E">
      <w:pPr>
        <w:pStyle w:val="IASBNormal"/>
        <w:ind w:left="1560" w:hanging="780"/>
      </w:pPr>
      <w:r>
        <w:rPr>
          <w:sz w:val="24"/>
          <w:szCs w:val="24"/>
        </w:rPr>
        <w:t>(c)         Организация не представляла свою финансовую отчетность и не находится в процессе представления своей финансовой отчетн</w:t>
      </w:r>
      <w:r>
        <w:rPr>
          <w:sz w:val="24"/>
          <w:szCs w:val="24"/>
        </w:rPr>
        <w:t xml:space="preserve">ости в комиссию по ценным бумагам или иной регулирующий орган в целях размещения любого вида инструментов на открытом рынке. </w:t>
      </w:r>
    </w:p>
    <w:p w:rsidR="00000000" w:rsidRDefault="00B32D7E">
      <w:pPr>
        <w:pStyle w:val="IASBNormal"/>
        <w:ind w:left="1560" w:hanging="780"/>
      </w:pPr>
      <w:r>
        <w:rPr>
          <w:sz w:val="24"/>
          <w:szCs w:val="24"/>
        </w:rPr>
        <w:t>(d)        Конечная или промежуточная материнская организация организации составляет консолидированную финансовую отчетность, нахо</w:t>
      </w:r>
      <w:r>
        <w:rPr>
          <w:sz w:val="24"/>
          <w:szCs w:val="24"/>
        </w:rPr>
        <w:t>дящуюся в публичном доступе, в соответствии с требованиями Международных стандартов финансовой отчетности.</w:t>
      </w:r>
    </w:p>
    <w:p w:rsidR="00000000" w:rsidRDefault="00B32D7E">
      <w:pPr>
        <w:pStyle w:val="IASBNormal"/>
        <w:ind w:left="780" w:hanging="780"/>
      </w:pPr>
      <w:r>
        <w:rPr>
          <w:sz w:val="24"/>
          <w:szCs w:val="24"/>
        </w:rPr>
        <w:t>18.         Если инвестиции в ассоциированную организацию или совместное предприятие принадлежат прямо организации, которая специализируется на венчу</w:t>
      </w:r>
      <w:r>
        <w:rPr>
          <w:sz w:val="24"/>
          <w:szCs w:val="24"/>
        </w:rPr>
        <w:t>рных инвестициях или является взаимным фондом, паевым фондом или аналогичной организацией, включая страховые фонды инвестиционного типа, или владение осуществляется через такую организацию, то в этом случае организация может решить оценивать инвестиции в э</w:t>
      </w:r>
      <w:r>
        <w:rPr>
          <w:sz w:val="24"/>
          <w:szCs w:val="24"/>
        </w:rPr>
        <w:t xml:space="preserve">ти ассоциированные организации или совместные предприятия по справедливой стоимости через прибыль или убыток в соответствии с </w:t>
      </w:r>
      <w:hyperlink r:id="rId15" w:history="1">
        <w:r>
          <w:rPr>
            <w:rStyle w:val="a3"/>
            <w:sz w:val="24"/>
            <w:szCs w:val="24"/>
          </w:rPr>
          <w:t>МСФО (IFRS) 9</w:t>
        </w:r>
      </w:hyperlink>
      <w:r>
        <w:rPr>
          <w:sz w:val="24"/>
          <w:szCs w:val="24"/>
        </w:rPr>
        <w:t xml:space="preserve">. </w:t>
      </w:r>
    </w:p>
    <w:p w:rsidR="00000000" w:rsidRDefault="00B32D7E">
      <w:pPr>
        <w:pStyle w:val="IASBNormal"/>
        <w:ind w:left="780" w:hanging="780"/>
      </w:pPr>
      <w:r>
        <w:rPr>
          <w:sz w:val="24"/>
          <w:szCs w:val="24"/>
        </w:rPr>
        <w:t xml:space="preserve">19.         </w:t>
      </w:r>
      <w:r>
        <w:rPr>
          <w:sz w:val="24"/>
          <w:szCs w:val="24"/>
        </w:rPr>
        <w:t>Если организация имеет инвестиции в ассоциированную организацию, владение частью доли в которых осуществляется через организацию, специализирующуюся на венчурных инвестициях, взаимный фонд, паевой фонд или аналогичную организацию, включая страховые фонды и</w:t>
      </w:r>
      <w:r>
        <w:rPr>
          <w:sz w:val="24"/>
          <w:szCs w:val="24"/>
        </w:rPr>
        <w:t xml:space="preserve">нвестиционного типа, организация может решить оценивать данную долю инвестиций в ассоциированную организацию по справедливой стоимости через прибыль или убыток в соответствии с </w:t>
      </w:r>
      <w:hyperlink r:id="rId16" w:history="1">
        <w:r>
          <w:rPr>
            <w:rStyle w:val="a3"/>
            <w:sz w:val="24"/>
            <w:szCs w:val="24"/>
          </w:rPr>
          <w:t>МСФО (IFRS) 9</w:t>
        </w:r>
      </w:hyperlink>
      <w:r>
        <w:rPr>
          <w:sz w:val="24"/>
          <w:szCs w:val="24"/>
        </w:rPr>
        <w:t xml:space="preserve"> </w:t>
      </w:r>
      <w:r>
        <w:rPr>
          <w:sz w:val="24"/>
          <w:szCs w:val="24"/>
        </w:rPr>
        <w:t>независимо от того, оказывают ли такие организации (организация, специализирующаяся на венчурных инвестициях, взаимный фонд, паевой фонд или аналогичная организация, включая страховые фонды инвестиционного типа) значительное влияние на эту долю инвестиций.</w:t>
      </w:r>
      <w:r>
        <w:rPr>
          <w:sz w:val="24"/>
          <w:szCs w:val="24"/>
        </w:rPr>
        <w:t xml:space="preserve"> Если организация делает такой выбор, то она должна применять метод долевого участия к любой части оставшейся доли ее инвестиции в ассоциированную организацию, которой она владеет не через организацию, специализирующуюся на венчурных инвестициях, взаимный </w:t>
      </w:r>
      <w:r>
        <w:rPr>
          <w:sz w:val="24"/>
          <w:szCs w:val="24"/>
        </w:rPr>
        <w:t xml:space="preserve">фонд, паевой фонд или аналогичную организацию, включая страховые фонды инвестиционного типа. </w:t>
      </w:r>
    </w:p>
    <w:p w:rsidR="00000000" w:rsidRDefault="00B32D7E">
      <w:pPr>
        <w:pStyle w:val="DaveIASBSubsectionTitle"/>
      </w:pPr>
      <w:r>
        <w:rPr>
          <w:rFonts w:ascii="Times New Roman" w:hAnsi="Times New Roman" w:cs="Times New Roman"/>
          <w:sz w:val="24"/>
          <w:szCs w:val="24"/>
        </w:rPr>
        <w:t>Инвестиции, классифицируемые как предназначенные для продажи</w:t>
      </w:r>
    </w:p>
    <w:p w:rsidR="00000000" w:rsidRDefault="00B32D7E">
      <w:pPr>
        <w:pStyle w:val="IASBNormal"/>
        <w:ind w:left="780" w:hanging="780"/>
      </w:pPr>
      <w:r>
        <w:rPr>
          <w:sz w:val="24"/>
          <w:szCs w:val="24"/>
        </w:rPr>
        <w:t xml:space="preserve">20.         Организация должна применять </w:t>
      </w:r>
      <w:hyperlink r:id="rId17" w:history="1">
        <w:r>
          <w:rPr>
            <w:rStyle w:val="a3"/>
            <w:sz w:val="24"/>
            <w:szCs w:val="24"/>
          </w:rPr>
          <w:t>МСФО (IFRS) 5</w:t>
        </w:r>
      </w:hyperlink>
      <w:r>
        <w:rPr>
          <w:sz w:val="24"/>
          <w:szCs w:val="24"/>
        </w:rPr>
        <w:t xml:space="preserve"> к инвестициям или к доле инвестиций в ассоциированную организацию или совместное предприятие, которые отвечают критерию классификации «предназначенные для продажи». Любая оставшаяся доля инвестиций в ассоциированную организацию или совме</w:t>
      </w:r>
      <w:r>
        <w:rPr>
          <w:sz w:val="24"/>
          <w:szCs w:val="24"/>
        </w:rPr>
        <w:t>стное предприятие, которая не была классифицирована как предназначенная для продажи, должна учитываться с использованием метода долевого участия, пока не произойдет выбытие той доли, которая классифицируется как предназначенная для продажи. После выбытия о</w:t>
      </w:r>
      <w:r>
        <w:rPr>
          <w:sz w:val="24"/>
          <w:szCs w:val="24"/>
        </w:rPr>
        <w:t xml:space="preserve">рганизация должна учитывать оставшуюся долю в ассоциированной организации или совместном предприятии в соответствии с </w:t>
      </w:r>
      <w:hyperlink r:id="rId18" w:history="1">
        <w:r>
          <w:rPr>
            <w:rStyle w:val="a3"/>
            <w:sz w:val="24"/>
            <w:szCs w:val="24"/>
          </w:rPr>
          <w:t>МСФО (IFRS) 9</w:t>
        </w:r>
      </w:hyperlink>
      <w:r>
        <w:rPr>
          <w:sz w:val="24"/>
          <w:szCs w:val="24"/>
        </w:rPr>
        <w:t>, кроме случаев, когда оставшаяся доля продолжает признавать</w:t>
      </w:r>
      <w:r>
        <w:rPr>
          <w:sz w:val="24"/>
          <w:szCs w:val="24"/>
        </w:rPr>
        <w:t>ся ассоциированной организацией или совместным предприятием, и в этом случае организация должна использовать метод долевого участия.</w:t>
      </w:r>
    </w:p>
    <w:p w:rsidR="00000000" w:rsidRDefault="00B32D7E">
      <w:pPr>
        <w:pStyle w:val="IASBNormal"/>
        <w:ind w:left="780" w:hanging="780"/>
      </w:pPr>
      <w:r>
        <w:rPr>
          <w:sz w:val="24"/>
          <w:szCs w:val="24"/>
        </w:rPr>
        <w:t xml:space="preserve">21.         </w:t>
      </w:r>
      <w:r>
        <w:rPr>
          <w:sz w:val="24"/>
          <w:szCs w:val="24"/>
        </w:rPr>
        <w:t>Если инвестиции или доля инвестиций в ассоциированную организацию или совместное предприятие, ранее классифицированные как предназначенные для продажи, перестают удовлетворять критериям для такой классификации, их следует учитывать по методу долевого участ</w:t>
      </w:r>
      <w:r>
        <w:rPr>
          <w:sz w:val="24"/>
          <w:szCs w:val="24"/>
        </w:rPr>
        <w:t xml:space="preserve">ия ретроспективно, начиная с даты классификации как предназначенных для продажи. Финансовая отчетность за все периоды, начиная с момента классификации инвестиций как предназначенных для продажи, должна быть соответствующим образом скорректирована. </w:t>
      </w:r>
    </w:p>
    <w:p w:rsidR="00000000" w:rsidRDefault="00B32D7E">
      <w:pPr>
        <w:pStyle w:val="DaveIASBSubsectionTitle"/>
      </w:pPr>
      <w:r>
        <w:rPr>
          <w:rFonts w:ascii="Times New Roman" w:hAnsi="Times New Roman" w:cs="Times New Roman"/>
          <w:sz w:val="24"/>
          <w:szCs w:val="24"/>
        </w:rPr>
        <w:t>Прекращ</w:t>
      </w:r>
      <w:r>
        <w:rPr>
          <w:rFonts w:ascii="Times New Roman" w:hAnsi="Times New Roman" w:cs="Times New Roman"/>
          <w:sz w:val="24"/>
          <w:szCs w:val="24"/>
        </w:rPr>
        <w:t>ение использования метода долевого участия</w:t>
      </w:r>
    </w:p>
    <w:p w:rsidR="00000000" w:rsidRDefault="00B32D7E">
      <w:pPr>
        <w:pStyle w:val="IASBPrinciple"/>
        <w:ind w:left="780" w:hanging="780"/>
      </w:pPr>
      <w:r>
        <w:rPr>
          <w:sz w:val="24"/>
          <w:szCs w:val="24"/>
        </w:rPr>
        <w:t xml:space="preserve">22.         Организация должна прекратить использование метода долевого участия с той даты, когда ее инвестиция перестает быть ассоциированной организацией или совместным предприятием: </w:t>
      </w:r>
    </w:p>
    <w:p w:rsidR="00000000" w:rsidRDefault="00B32D7E">
      <w:pPr>
        <w:pStyle w:val="IASBPrinciple"/>
        <w:ind w:left="1560" w:hanging="780"/>
      </w:pPr>
      <w:r>
        <w:rPr>
          <w:sz w:val="24"/>
          <w:szCs w:val="24"/>
        </w:rPr>
        <w:t>(a)         Если инвестиция</w:t>
      </w:r>
      <w:r>
        <w:rPr>
          <w:sz w:val="24"/>
          <w:szCs w:val="24"/>
        </w:rPr>
        <w:t xml:space="preserve"> становится дочерней организацией, организация должна учитывать свои инвестиции в соответствии с </w:t>
      </w:r>
      <w:hyperlink r:id="rId19" w:history="1">
        <w:r>
          <w:rPr>
            <w:rStyle w:val="a3"/>
            <w:b w:val="0"/>
            <w:bCs w:val="0"/>
            <w:sz w:val="24"/>
            <w:szCs w:val="24"/>
          </w:rPr>
          <w:t>МСФО (IFRS) 3</w:t>
        </w:r>
      </w:hyperlink>
      <w:r>
        <w:rPr>
          <w:sz w:val="24"/>
          <w:szCs w:val="24"/>
        </w:rPr>
        <w:t xml:space="preserve"> </w:t>
      </w:r>
      <w:r>
        <w:rPr>
          <w:i/>
          <w:iCs/>
          <w:sz w:val="24"/>
          <w:szCs w:val="24"/>
        </w:rPr>
        <w:t>«Объединения бизнесов»</w:t>
      </w:r>
      <w:r>
        <w:rPr>
          <w:sz w:val="24"/>
          <w:szCs w:val="24"/>
        </w:rPr>
        <w:t xml:space="preserve"> и </w:t>
      </w:r>
      <w:hyperlink r:id="rId20" w:history="1">
        <w:r>
          <w:rPr>
            <w:rStyle w:val="a3"/>
            <w:b w:val="0"/>
            <w:bCs w:val="0"/>
            <w:sz w:val="24"/>
            <w:szCs w:val="24"/>
          </w:rPr>
          <w:t>МСФО (IFRS) 10</w:t>
        </w:r>
      </w:hyperlink>
      <w:r>
        <w:rPr>
          <w:sz w:val="24"/>
          <w:szCs w:val="24"/>
        </w:rPr>
        <w:t>.</w:t>
      </w:r>
    </w:p>
    <w:p w:rsidR="00000000" w:rsidRDefault="00B32D7E">
      <w:pPr>
        <w:pStyle w:val="IASBPrinciple"/>
        <w:ind w:left="1560" w:hanging="780"/>
      </w:pPr>
      <w:r>
        <w:rPr>
          <w:sz w:val="24"/>
          <w:szCs w:val="24"/>
        </w:rPr>
        <w:t>(b)        Если оставшаяся доля в бывшей ассоциированной организации или совместном предприятии является финансовым активом, организация должна оценивать оставшуюся долю по справедливой стоимости. Справедливая стоимость оставшейся</w:t>
      </w:r>
      <w:r>
        <w:rPr>
          <w:sz w:val="24"/>
          <w:szCs w:val="24"/>
        </w:rPr>
        <w:t xml:space="preserve"> доли должна оцениваться как ее справедливая стоимость при первоначальном признании в качестве финансового актива в соответствии с </w:t>
      </w:r>
      <w:hyperlink r:id="rId21" w:history="1">
        <w:r>
          <w:rPr>
            <w:rStyle w:val="a3"/>
            <w:b w:val="0"/>
            <w:bCs w:val="0"/>
            <w:sz w:val="24"/>
            <w:szCs w:val="24"/>
          </w:rPr>
          <w:t>МСФО (IFRS) 9</w:t>
        </w:r>
      </w:hyperlink>
      <w:r>
        <w:rPr>
          <w:sz w:val="24"/>
          <w:szCs w:val="24"/>
        </w:rPr>
        <w:t>. Организация должна признавать в составе прибы</w:t>
      </w:r>
      <w:r>
        <w:rPr>
          <w:sz w:val="24"/>
          <w:szCs w:val="24"/>
        </w:rPr>
        <w:t>ли или убытка любую разницу между:</w:t>
      </w:r>
    </w:p>
    <w:p w:rsidR="00000000" w:rsidRDefault="00B32D7E">
      <w:pPr>
        <w:pStyle w:val="IASBPrinciple"/>
        <w:ind w:left="2340" w:hanging="780"/>
      </w:pPr>
      <w:r>
        <w:rPr>
          <w:sz w:val="24"/>
          <w:szCs w:val="24"/>
        </w:rPr>
        <w:t xml:space="preserve">(i)          справедливой стоимостью оставшейся доли участия и поступлений от выбытия части инвестиций в ассоциированную организацию или совместное предприятие; и </w:t>
      </w:r>
    </w:p>
    <w:p w:rsidR="00000000" w:rsidRDefault="00B32D7E">
      <w:pPr>
        <w:pStyle w:val="IASBPrinciple"/>
        <w:ind w:left="2340" w:hanging="780"/>
      </w:pPr>
      <w:r>
        <w:rPr>
          <w:sz w:val="24"/>
          <w:szCs w:val="24"/>
        </w:rPr>
        <w:t>(ii)         балансовой стоимостью инвестиций на дату пре</w:t>
      </w:r>
      <w:r>
        <w:rPr>
          <w:sz w:val="24"/>
          <w:szCs w:val="24"/>
        </w:rPr>
        <w:t>кращения использования метода долевого участия.</w:t>
      </w:r>
    </w:p>
    <w:p w:rsidR="00000000" w:rsidRDefault="00B32D7E">
      <w:pPr>
        <w:pStyle w:val="IASBPrinciple"/>
        <w:ind w:left="1560" w:hanging="780"/>
      </w:pPr>
      <w:r>
        <w:rPr>
          <w:sz w:val="24"/>
          <w:szCs w:val="24"/>
        </w:rPr>
        <w:t>(c)         Если организация прекращает использование метода долевого участия, организация должна учитывать все суммы, ранее признанные в составе прочего совокупного дохода, в отношении этих инвестиций так же</w:t>
      </w:r>
      <w:r>
        <w:rPr>
          <w:sz w:val="24"/>
          <w:szCs w:val="24"/>
        </w:rPr>
        <w:t>, как если бы соответствующие активы и обязательства выбывали непосредственно у объекта инвестиций.</w:t>
      </w:r>
    </w:p>
    <w:p w:rsidR="00000000" w:rsidRDefault="00B32D7E">
      <w:pPr>
        <w:pStyle w:val="IASBNormal"/>
        <w:ind w:left="780" w:hanging="780"/>
      </w:pPr>
      <w:r>
        <w:rPr>
          <w:sz w:val="24"/>
          <w:szCs w:val="24"/>
        </w:rPr>
        <w:t>23.         Следовательно, если доход или убыток, ранее признанный объектом инвестиций в составе прочего совокупного дохода, реклассифицируется в состав при</w:t>
      </w:r>
      <w:r>
        <w:rPr>
          <w:sz w:val="24"/>
          <w:szCs w:val="24"/>
        </w:rPr>
        <w:t>были или убытка от выбытия соответствующих активов или обязательств, организация реклассифицирует доход или убыток из состава собственного капитала в состав прибыли или убытка (реклассификационная корректировка), когда прекращается использование метода дол</w:t>
      </w:r>
      <w:r>
        <w:rPr>
          <w:sz w:val="24"/>
          <w:szCs w:val="24"/>
        </w:rPr>
        <w:t>евого участия. Например, если ассоциированная организация или совместное предприятие имеют накопленные курсовые разницы, относящиеся к иностранным подразделениям, и организация прекращает использовать метод долевого участия, организация должна реклассифици</w:t>
      </w:r>
      <w:r>
        <w:rPr>
          <w:sz w:val="24"/>
          <w:szCs w:val="24"/>
        </w:rPr>
        <w:t>ровать в состав прибыли или убытка доход или убыток, ранее признанные в отношении этих иностранных подразделений в составе прочего совокупного дохода.</w:t>
      </w:r>
    </w:p>
    <w:p w:rsidR="00000000" w:rsidRDefault="00B32D7E">
      <w:pPr>
        <w:pStyle w:val="IASBPrinciple"/>
        <w:ind w:left="780" w:hanging="780"/>
      </w:pPr>
      <w:r>
        <w:rPr>
          <w:sz w:val="24"/>
          <w:szCs w:val="24"/>
        </w:rPr>
        <w:t>24.         Если инвестиция в ассоциированную организацию становится инвестицией в совместное предприятие</w:t>
      </w:r>
      <w:r>
        <w:rPr>
          <w:sz w:val="24"/>
          <w:szCs w:val="24"/>
        </w:rPr>
        <w:t xml:space="preserve"> или инвестиция в совместное предприятие становится инвестицией в ассоциированную организацию, организация продолжает использовать метод долевого участия и не производит переоценку оставшейся доли. </w:t>
      </w:r>
    </w:p>
    <w:p w:rsidR="00000000" w:rsidRDefault="00B32D7E">
      <w:pPr>
        <w:pStyle w:val="DaveIASBSubsectionTitle"/>
      </w:pPr>
      <w:r>
        <w:rPr>
          <w:rFonts w:ascii="Times New Roman" w:hAnsi="Times New Roman" w:cs="Times New Roman"/>
          <w:sz w:val="24"/>
          <w:szCs w:val="24"/>
        </w:rPr>
        <w:t>Изменения доли владения</w:t>
      </w:r>
    </w:p>
    <w:p w:rsidR="00000000" w:rsidRDefault="00B32D7E">
      <w:pPr>
        <w:pStyle w:val="IASBNormal"/>
        <w:ind w:left="780" w:hanging="780"/>
      </w:pPr>
      <w:r>
        <w:rPr>
          <w:sz w:val="24"/>
          <w:szCs w:val="24"/>
        </w:rPr>
        <w:t>25.         Если доля владения ор</w:t>
      </w:r>
      <w:r>
        <w:rPr>
          <w:sz w:val="24"/>
          <w:szCs w:val="24"/>
        </w:rPr>
        <w:t>ганизации в ассоциированной организации или совместном предприятии уменьшается, но организация продолжает использовать метод долевого участия, то организация должна реклассифицировать в состав прибыли или убытка определенную долю дохода или убытка, ранее п</w:t>
      </w:r>
      <w:r>
        <w:rPr>
          <w:sz w:val="24"/>
          <w:szCs w:val="24"/>
        </w:rPr>
        <w:t>ризнанную в составе прочего совокупного дохода, связанного с данным уменьшением доли владения, если бы этот доход или убыток требовалось реклассифицировать в составе прибыли или убытка при выбытии соответствующих активов или обязательств.</w:t>
      </w:r>
    </w:p>
    <w:p w:rsidR="00000000" w:rsidRDefault="00B32D7E">
      <w:pPr>
        <w:pStyle w:val="DaveIASBSubsectionTitle"/>
      </w:pPr>
      <w:r>
        <w:rPr>
          <w:rFonts w:ascii="Times New Roman" w:hAnsi="Times New Roman" w:cs="Times New Roman"/>
          <w:sz w:val="24"/>
          <w:szCs w:val="24"/>
        </w:rPr>
        <w:t>Процедуры, примен</w:t>
      </w:r>
      <w:r>
        <w:rPr>
          <w:rFonts w:ascii="Times New Roman" w:hAnsi="Times New Roman" w:cs="Times New Roman"/>
          <w:sz w:val="24"/>
          <w:szCs w:val="24"/>
        </w:rPr>
        <w:t>яемые при методе долевого участия</w:t>
      </w:r>
    </w:p>
    <w:p w:rsidR="00000000" w:rsidRDefault="00B32D7E">
      <w:pPr>
        <w:pStyle w:val="IASBNormal"/>
        <w:ind w:left="780" w:hanging="780"/>
      </w:pPr>
      <w:r>
        <w:rPr>
          <w:sz w:val="24"/>
          <w:szCs w:val="24"/>
        </w:rPr>
        <w:t xml:space="preserve">26.         Многие процедуры, осуществляемые при применении метода долевого участия, аналогичны процедурам консолидации, описанным в </w:t>
      </w:r>
      <w:hyperlink r:id="rId22" w:history="1">
        <w:r>
          <w:rPr>
            <w:rStyle w:val="a3"/>
            <w:sz w:val="24"/>
            <w:szCs w:val="24"/>
          </w:rPr>
          <w:t>МСФО (IFRS) 10</w:t>
        </w:r>
      </w:hyperlink>
      <w:r>
        <w:rPr>
          <w:sz w:val="24"/>
          <w:szCs w:val="24"/>
        </w:rPr>
        <w:t>. Кроме то</w:t>
      </w:r>
      <w:r>
        <w:rPr>
          <w:sz w:val="24"/>
          <w:szCs w:val="24"/>
        </w:rPr>
        <w:t>го, концепции, лежащие в основе процедур, осуществляемых при учете приобретения дочерней организации, также используются при учете приобретения инвестиций в ассоциированную организацию или совместное предприятие.</w:t>
      </w:r>
    </w:p>
    <w:p w:rsidR="00000000" w:rsidRDefault="00B32D7E">
      <w:pPr>
        <w:pStyle w:val="IASBNormal"/>
        <w:ind w:left="780" w:hanging="780"/>
      </w:pPr>
      <w:r>
        <w:rPr>
          <w:sz w:val="24"/>
          <w:szCs w:val="24"/>
        </w:rPr>
        <w:t xml:space="preserve">27.         </w:t>
      </w:r>
      <w:r>
        <w:rPr>
          <w:sz w:val="24"/>
          <w:szCs w:val="24"/>
        </w:rPr>
        <w:t>Доля группы в ассоциированной организации или совместном предприятии представляет собой совокупную долю материнской организации и ее дочерних организаций в этой ассоциированной организации или совместном предприятии. Доля участия других ассоциированных орг</w:t>
      </w:r>
      <w:r>
        <w:rPr>
          <w:sz w:val="24"/>
          <w:szCs w:val="24"/>
        </w:rPr>
        <w:t>анизаций или совместных предприятий группы в этих целях не принимаются во внимание. Если ассоциированная организация или совместное предприятие имеют дочерние организации, ассоциированные организации или совместные предприятия, прибыль или убыток, прочий с</w:t>
      </w:r>
      <w:r>
        <w:rPr>
          <w:sz w:val="24"/>
          <w:szCs w:val="24"/>
        </w:rPr>
        <w:t>овокупный доход и чистые активы, используемые при применении метода долевого участия, представляют собой прибыль или убыток, прочий совокупный доход и чистые активы, признанные в финансовой отчетности ассоциированной организации или совместного предприятия</w:t>
      </w:r>
      <w:r>
        <w:rPr>
          <w:sz w:val="24"/>
          <w:szCs w:val="24"/>
        </w:rPr>
        <w:t xml:space="preserve"> (включая долю ассоциированной организации или совместного предприятия в прибыли или убытке, прочем совокупном доходе и чистых активах собственных ассоциированных организаций и совместных предприятий) после корректировок, необходимых для соблюдения единой </w:t>
      </w:r>
      <w:r>
        <w:rPr>
          <w:sz w:val="24"/>
          <w:szCs w:val="24"/>
        </w:rPr>
        <w:t>учетной политики (см. </w:t>
      </w:r>
      <w:hyperlink w:anchor="sub3500" w:history="1">
        <w:r>
          <w:rPr>
            <w:rStyle w:val="a3"/>
            <w:sz w:val="24"/>
            <w:szCs w:val="24"/>
          </w:rPr>
          <w:t>пункты 35 и 36</w:t>
        </w:r>
      </w:hyperlink>
      <w:r>
        <w:rPr>
          <w:sz w:val="24"/>
          <w:szCs w:val="24"/>
        </w:rPr>
        <w:t>).</w:t>
      </w:r>
    </w:p>
    <w:p w:rsidR="00000000" w:rsidRDefault="00B32D7E">
      <w:pPr>
        <w:pStyle w:val="IASBNormal"/>
        <w:ind w:left="780" w:hanging="780"/>
      </w:pPr>
      <w:bookmarkStart w:id="2" w:name="SUB2800"/>
      <w:bookmarkEnd w:id="2"/>
      <w:r>
        <w:rPr>
          <w:sz w:val="24"/>
          <w:szCs w:val="24"/>
        </w:rPr>
        <w:t>28.         Прибыли и убытки, возникающие в результате операций «снизу вверх» и «сверху вниз» между организацией (включая ее консолидированные дочерние организации) и ее ассоциированной о</w:t>
      </w:r>
      <w:r>
        <w:rPr>
          <w:sz w:val="24"/>
          <w:szCs w:val="24"/>
        </w:rPr>
        <w:t>рганизацией или совместным предприятием, признаются в финансовой отчетности организации в той мере, в которой они не относятся к доле участия инвестора в этой ассоциированной организации или совместном предприятии. Операции «снизу вверх», например, включаю</w:t>
      </w:r>
      <w:r>
        <w:rPr>
          <w:sz w:val="24"/>
          <w:szCs w:val="24"/>
        </w:rPr>
        <w:t>т продажу активов инвестору ассоциированной организацией или совместным предприятием. В качестве примера операций «сверху вниз» можно привести продажу или взнос активов в ассоциированную организацию или совместное предприятие инвестором. Доля инвестора в п</w:t>
      </w:r>
      <w:r>
        <w:rPr>
          <w:sz w:val="24"/>
          <w:szCs w:val="24"/>
        </w:rPr>
        <w:t xml:space="preserve">рибылях и убытках ассоциированной организации или совместного предприятия от этих операций подлежит исключению. </w:t>
      </w:r>
    </w:p>
    <w:p w:rsidR="00000000" w:rsidRDefault="00B32D7E">
      <w:pPr>
        <w:pStyle w:val="IASBNormal"/>
        <w:ind w:left="780" w:hanging="780"/>
      </w:pPr>
      <w:r>
        <w:rPr>
          <w:sz w:val="24"/>
          <w:szCs w:val="24"/>
        </w:rPr>
        <w:t>29.         Если операции «сверху вниз» свидетельствуют об уменьшении чистой возможной цены продажи активов, подлежащих продаже или вложению, и</w:t>
      </w:r>
      <w:r>
        <w:rPr>
          <w:sz w:val="24"/>
          <w:szCs w:val="24"/>
        </w:rPr>
        <w:t>ли об убытке от обесценения этих активов, то эти убытки должны полностью признаваться инвестором. Если операции «снизу вверх» свидетельствуют об уменьшении чистой возможной цены продажи активов, подлежащих покупке, или об убытке от обесценения этих активов</w:t>
      </w:r>
      <w:r>
        <w:rPr>
          <w:sz w:val="24"/>
          <w:szCs w:val="24"/>
        </w:rPr>
        <w:t>, то инвестор должен признать свою долю в этих убытках.</w:t>
      </w:r>
    </w:p>
    <w:p w:rsidR="00000000" w:rsidRDefault="00B32D7E">
      <w:pPr>
        <w:pStyle w:val="IASBNormal"/>
        <w:ind w:left="780" w:hanging="780"/>
      </w:pPr>
      <w:r>
        <w:rPr>
          <w:sz w:val="24"/>
          <w:szCs w:val="24"/>
        </w:rPr>
        <w:t xml:space="preserve">30.         Вклад немонетарного актива в ассоциированную организацию или совместное предприятие в обмен на долю в капитале ассоциированной организации или совместного предприятия должен учитываться в </w:t>
      </w:r>
      <w:r>
        <w:rPr>
          <w:sz w:val="24"/>
          <w:szCs w:val="24"/>
        </w:rPr>
        <w:t xml:space="preserve">соответствии с </w:t>
      </w:r>
      <w:hyperlink w:anchor="sub2800" w:history="1">
        <w:r>
          <w:rPr>
            <w:rStyle w:val="a3"/>
            <w:sz w:val="24"/>
            <w:szCs w:val="24"/>
          </w:rPr>
          <w:t>пунктом 28</w:t>
        </w:r>
      </w:hyperlink>
      <w:r>
        <w:rPr>
          <w:sz w:val="24"/>
          <w:szCs w:val="24"/>
        </w:rPr>
        <w:t xml:space="preserve">, за исключением случаев, когда такой вклад лишен коммерческого содержания в том значении этого термина, в котором он определен в </w:t>
      </w:r>
      <w:hyperlink r:id="rId23" w:anchor="sub_id=1600" w:history="1">
        <w:r>
          <w:rPr>
            <w:rStyle w:val="a3"/>
            <w:sz w:val="24"/>
            <w:szCs w:val="24"/>
          </w:rPr>
          <w:t>МСФО (IAS) 16</w:t>
        </w:r>
      </w:hyperlink>
      <w:r>
        <w:rPr>
          <w:sz w:val="24"/>
          <w:szCs w:val="24"/>
        </w:rPr>
        <w:t xml:space="preserve"> </w:t>
      </w:r>
      <w:r>
        <w:rPr>
          <w:i/>
          <w:iCs/>
          <w:sz w:val="24"/>
          <w:szCs w:val="24"/>
        </w:rPr>
        <w:t>«Основные средства»</w:t>
      </w:r>
      <w:r>
        <w:rPr>
          <w:sz w:val="24"/>
          <w:szCs w:val="24"/>
        </w:rPr>
        <w:t xml:space="preserve">. Если такой вклад лишен коммерческого содержания, то прибыль или убыток рассматриваются как нереализованные и не признаются, кроме случая, когда также применим </w:t>
      </w:r>
      <w:hyperlink w:anchor="sub3100" w:history="1">
        <w:r>
          <w:rPr>
            <w:rStyle w:val="a3"/>
            <w:sz w:val="24"/>
            <w:szCs w:val="24"/>
          </w:rPr>
          <w:t>пункт 31</w:t>
        </w:r>
      </w:hyperlink>
      <w:r>
        <w:rPr>
          <w:sz w:val="24"/>
          <w:szCs w:val="24"/>
        </w:rPr>
        <w:t>. Такие нереал</w:t>
      </w:r>
      <w:r>
        <w:rPr>
          <w:sz w:val="24"/>
          <w:szCs w:val="24"/>
        </w:rPr>
        <w:t xml:space="preserve">изованные доходы или убытки должны исключаться против инвестиций, учитываемых с использованием метода долевого участия, и не должны представляться в качестве отложенных прибылей или убытков в консолидированном отчете о финансовом положении организации или </w:t>
      </w:r>
      <w:r>
        <w:rPr>
          <w:sz w:val="24"/>
          <w:szCs w:val="24"/>
        </w:rPr>
        <w:t>в отчете о финансовом положении, в котором инвестиции учитываются с использованием метода долевого участия.</w:t>
      </w:r>
    </w:p>
    <w:p w:rsidR="00000000" w:rsidRDefault="00B32D7E">
      <w:pPr>
        <w:pStyle w:val="IASBNormal"/>
        <w:ind w:left="780" w:hanging="780"/>
      </w:pPr>
      <w:bookmarkStart w:id="3" w:name="SUB3100"/>
      <w:bookmarkEnd w:id="3"/>
      <w:r>
        <w:rPr>
          <w:sz w:val="24"/>
          <w:szCs w:val="24"/>
        </w:rPr>
        <w:t>31.         Если, помимо получения доли в капитале ассоциированной организации или совместного предприятия, организация также получает монетарные ил</w:t>
      </w:r>
      <w:r>
        <w:rPr>
          <w:sz w:val="24"/>
          <w:szCs w:val="24"/>
        </w:rPr>
        <w:t xml:space="preserve">и немонетарные активы, то организация полностью признает в составе прибыли или убытка долю дохода или убытка от немонетарного вклада, связанного с полученными монетарными или немонетарными активами. </w:t>
      </w:r>
    </w:p>
    <w:p w:rsidR="00000000" w:rsidRDefault="00B32D7E">
      <w:pPr>
        <w:pStyle w:val="IASBNormal"/>
        <w:ind w:left="780" w:hanging="780"/>
      </w:pPr>
      <w:r>
        <w:rPr>
          <w:sz w:val="24"/>
          <w:szCs w:val="24"/>
        </w:rPr>
        <w:t xml:space="preserve">31A      </w:t>
      </w:r>
      <w:bookmarkStart w:id="4" w:name="F32766293"/>
      <w:r>
        <w:rPr>
          <w:i/>
          <w:iCs/>
          <w:sz w:val="24"/>
          <w:szCs w:val="24"/>
        </w:rPr>
        <w:t>[Данный пункт касается поправок, еще не вступив</w:t>
      </w:r>
      <w:r>
        <w:rPr>
          <w:i/>
          <w:iCs/>
          <w:sz w:val="24"/>
          <w:szCs w:val="24"/>
        </w:rPr>
        <w:t>ших в силу, и поэтому не включен в настоящую редакцию.]</w:t>
      </w:r>
      <w:bookmarkEnd w:id="4"/>
    </w:p>
    <w:p w:rsidR="00000000" w:rsidRDefault="00B32D7E">
      <w:pPr>
        <w:pStyle w:val="IASBNormal"/>
        <w:ind w:left="780" w:hanging="780"/>
      </w:pPr>
      <w:r>
        <w:rPr>
          <w:sz w:val="24"/>
          <w:szCs w:val="24"/>
        </w:rPr>
        <w:t xml:space="preserve">31B      </w:t>
      </w:r>
      <w:r>
        <w:rPr>
          <w:i/>
          <w:iCs/>
          <w:sz w:val="24"/>
          <w:szCs w:val="24"/>
        </w:rPr>
        <w:t>[Данный пункт касается поправок, еще не вступивших в силу, и поэтому не включен в настоящую редакцию.]</w:t>
      </w:r>
    </w:p>
    <w:p w:rsidR="00000000" w:rsidRDefault="00B32D7E">
      <w:pPr>
        <w:pStyle w:val="IASBNormal"/>
        <w:ind w:left="780" w:hanging="780"/>
      </w:pPr>
      <w:r>
        <w:rPr>
          <w:sz w:val="24"/>
          <w:szCs w:val="24"/>
        </w:rPr>
        <w:t>32.         Инвестиции учитываются по методу долевого участия, начиная с даты, когда орг</w:t>
      </w:r>
      <w:r>
        <w:rPr>
          <w:sz w:val="24"/>
          <w:szCs w:val="24"/>
        </w:rPr>
        <w:t>анизация становится ассоциированной организацией или совместным предприятием. При приобретении инвестиций любая разница между стоимостью инвестиции и долей организации в чистой справедливой стоимости идентифицируемых активов и обязательств объекта инвестиц</w:t>
      </w:r>
      <w:r>
        <w:rPr>
          <w:sz w:val="24"/>
          <w:szCs w:val="24"/>
        </w:rPr>
        <w:t xml:space="preserve">ий учитывается следующим образом: </w:t>
      </w:r>
    </w:p>
    <w:p w:rsidR="00000000" w:rsidRDefault="00B32D7E">
      <w:pPr>
        <w:pStyle w:val="IASBNormal"/>
        <w:ind w:left="1560" w:hanging="780"/>
      </w:pPr>
      <w:r>
        <w:rPr>
          <w:sz w:val="24"/>
          <w:szCs w:val="24"/>
        </w:rPr>
        <w:t>(a)         Гудвил, относящийся к ассоциированной организации или совместному предприятию, включается в состав балансовой стоимости инвестиций. Амортизация этого гудвила не разрешается.</w:t>
      </w:r>
    </w:p>
    <w:p w:rsidR="00000000" w:rsidRDefault="00B32D7E">
      <w:pPr>
        <w:pStyle w:val="IASBNormal"/>
        <w:ind w:left="1560" w:hanging="780"/>
      </w:pPr>
      <w:r>
        <w:rPr>
          <w:sz w:val="24"/>
          <w:szCs w:val="24"/>
        </w:rPr>
        <w:t xml:space="preserve">(b)         </w:t>
      </w:r>
      <w:r>
        <w:rPr>
          <w:sz w:val="24"/>
          <w:szCs w:val="24"/>
        </w:rPr>
        <w:t>Сумма превышения доли организации в чистой справедливой стоимости идентифицируемых активов и обязательств ассоциированной организации над стоимостью инвестиции отражается в качестве дохода при определении доли инвестора в прибыли или убытке ассоциированной</w:t>
      </w:r>
      <w:r>
        <w:rPr>
          <w:sz w:val="24"/>
          <w:szCs w:val="24"/>
        </w:rPr>
        <w:t xml:space="preserve"> организации или совместного предприятия за тот период, в котором инвестиции были приобретены.</w:t>
      </w:r>
    </w:p>
    <w:p w:rsidR="00000000" w:rsidRDefault="00B32D7E">
      <w:pPr>
        <w:pStyle w:val="IASBNormal"/>
        <w:ind w:left="780"/>
      </w:pPr>
      <w:r>
        <w:rPr>
          <w:sz w:val="24"/>
          <w:szCs w:val="24"/>
        </w:rPr>
        <w:t xml:space="preserve">Кроме того, выполняются необходимые корректировки доли инвестора в прибыли или убытке ассоциированной организации или совместного предприятия после приобретения </w:t>
      </w:r>
      <w:r>
        <w:rPr>
          <w:sz w:val="24"/>
          <w:szCs w:val="24"/>
        </w:rPr>
        <w:t>для отражения, например, амортизации амортизируемых активов на основе их справедливой стоимости на дату приобретения. Аналогичным образом, производятся соответствующие корректировки доли инвестора в прибыли или убытке ассоциированной организации или совмес</w:t>
      </w:r>
      <w:r>
        <w:rPr>
          <w:sz w:val="24"/>
          <w:szCs w:val="24"/>
        </w:rPr>
        <w:t>тного предприятия после приобретения с целью учета убытков от обесценения, таких как от обесценения гудвила или основных средств.</w:t>
      </w:r>
    </w:p>
    <w:p w:rsidR="00000000" w:rsidRDefault="00B32D7E">
      <w:pPr>
        <w:pStyle w:val="IASBPrinciple"/>
        <w:ind w:left="780" w:hanging="780"/>
      </w:pPr>
      <w:bookmarkStart w:id="5" w:name="SUB3300"/>
      <w:bookmarkEnd w:id="5"/>
      <w:r>
        <w:rPr>
          <w:sz w:val="24"/>
          <w:szCs w:val="24"/>
        </w:rPr>
        <w:t>33.         При применении метода долевого участия организация использует самую последнюю финансовую отчетность ассоциированно</w:t>
      </w:r>
      <w:r>
        <w:rPr>
          <w:sz w:val="24"/>
          <w:szCs w:val="24"/>
        </w:rPr>
        <w:t>й организации или совместного предприятия. Если даты конца отчетного периода организации и ассоциированной организации или совместного предприятия различаются, ассоциированная организация или совместное предприятие готовят для организации финансовую отчетн</w:t>
      </w:r>
      <w:r>
        <w:rPr>
          <w:sz w:val="24"/>
          <w:szCs w:val="24"/>
        </w:rPr>
        <w:t>ость по состоянию на ту же дату конца отчетного периода, что и финансовая отчетность самой организации, за исключением случаев, когда это практически неосуществимо.</w:t>
      </w:r>
    </w:p>
    <w:p w:rsidR="00000000" w:rsidRDefault="00B32D7E">
      <w:pPr>
        <w:pStyle w:val="IASBPrinciple"/>
        <w:ind w:left="780" w:hanging="780"/>
      </w:pPr>
      <w:r>
        <w:rPr>
          <w:sz w:val="24"/>
          <w:szCs w:val="24"/>
        </w:rPr>
        <w:t xml:space="preserve">34.         Если в соответствии с </w:t>
      </w:r>
      <w:hyperlink w:anchor="sub3300" w:history="1">
        <w:r>
          <w:rPr>
            <w:rStyle w:val="a3"/>
            <w:b w:val="0"/>
            <w:bCs w:val="0"/>
            <w:sz w:val="24"/>
            <w:szCs w:val="24"/>
          </w:rPr>
          <w:t>пунктом 33</w:t>
        </w:r>
      </w:hyperlink>
      <w:r>
        <w:rPr>
          <w:sz w:val="24"/>
          <w:szCs w:val="24"/>
        </w:rPr>
        <w:t xml:space="preserve"> финансовая отчет</w:t>
      </w:r>
      <w:r>
        <w:rPr>
          <w:sz w:val="24"/>
          <w:szCs w:val="24"/>
        </w:rPr>
        <w:t xml:space="preserve">ность ассоциированной организации или совместного предприятия, использованная при применении метода долевого участия, составлена по состоянию на иную отчетную дату, нежели финансовая отчетность организации, необходимо выполнить корректировки для отражения </w:t>
      </w:r>
      <w:r>
        <w:rPr>
          <w:sz w:val="24"/>
          <w:szCs w:val="24"/>
        </w:rPr>
        <w:t>влияния значительных операций или событий, имевших место в период между этой датой и отчетной датой организации. В любом случае разница между концом отчетного периода ассоциированной организации или совместного предприятия и концом отчетного периода органи</w:t>
      </w:r>
      <w:r>
        <w:rPr>
          <w:sz w:val="24"/>
          <w:szCs w:val="24"/>
        </w:rPr>
        <w:t xml:space="preserve">зации не должна превышать трех месяцев. Продолжительность отчетных периодов и различие в датах окончания отчетных периодов должны быть одинаковыми от периода к периоду. </w:t>
      </w:r>
    </w:p>
    <w:p w:rsidR="00000000" w:rsidRDefault="00B32D7E">
      <w:pPr>
        <w:pStyle w:val="IASBPrinciple"/>
        <w:ind w:left="780" w:hanging="780"/>
      </w:pPr>
      <w:bookmarkStart w:id="6" w:name="SUB3500"/>
      <w:bookmarkEnd w:id="6"/>
      <w:r>
        <w:rPr>
          <w:sz w:val="24"/>
          <w:szCs w:val="24"/>
        </w:rPr>
        <w:t>35.         Финансовая отчетность организации должна составляться на основе использова</w:t>
      </w:r>
      <w:r>
        <w:rPr>
          <w:sz w:val="24"/>
          <w:szCs w:val="24"/>
        </w:rPr>
        <w:t xml:space="preserve">ния единой учетной политики в отношении аналогичных операций и событий, имевших место при сходных обстоятельствах. </w:t>
      </w:r>
    </w:p>
    <w:p w:rsidR="00000000" w:rsidRDefault="00B32D7E">
      <w:pPr>
        <w:pStyle w:val="IASBNormal"/>
        <w:ind w:left="780" w:hanging="780"/>
      </w:pPr>
      <w:r>
        <w:rPr>
          <w:sz w:val="24"/>
          <w:szCs w:val="24"/>
        </w:rPr>
        <w:t>36.         Если ассоциированная организация или совместное предприятие применяют учетную политику, отличную от учетной политики организации</w:t>
      </w:r>
      <w:r>
        <w:rPr>
          <w:sz w:val="24"/>
          <w:szCs w:val="24"/>
        </w:rPr>
        <w:t xml:space="preserve"> в отношении аналогичных операций и событий, имевших место при сходных обстоятельствах, необходимо произвести корректировки с целью приведения учетной политики ассоциированной организации или совместного предприятия в соответствие с учетной политикой орган</w:t>
      </w:r>
      <w:r>
        <w:rPr>
          <w:sz w:val="24"/>
          <w:szCs w:val="24"/>
        </w:rPr>
        <w:t xml:space="preserve">изации, если финансовая отчетность ассоциированной организации или совместного предприятия используется организацией, применяющей метод долевого участия. </w:t>
      </w:r>
    </w:p>
    <w:p w:rsidR="00000000" w:rsidRDefault="00B32D7E">
      <w:pPr>
        <w:pStyle w:val="IASBNormal"/>
        <w:ind w:left="780" w:hanging="780"/>
      </w:pPr>
      <w:r>
        <w:rPr>
          <w:sz w:val="24"/>
          <w:szCs w:val="24"/>
        </w:rPr>
        <w:t>37.         Если ассоциированная организация или совместное предприятие имеют в обращении кумулятивны</w:t>
      </w:r>
      <w:r>
        <w:rPr>
          <w:sz w:val="24"/>
          <w:szCs w:val="24"/>
        </w:rPr>
        <w:t>е привилегированные акции, которыми владеют стороны, отличные от организации, и которые классифицируются как собственный капитал, организация рассчитывает свою долю в прибылях или убытках после корректировки на сумму дивидендов по таким акциям вне зависимо</w:t>
      </w:r>
      <w:r>
        <w:rPr>
          <w:sz w:val="24"/>
          <w:szCs w:val="24"/>
        </w:rPr>
        <w:t xml:space="preserve">сти от того, объявлены ли эти дивиденды к выплате. </w:t>
      </w:r>
    </w:p>
    <w:p w:rsidR="00000000" w:rsidRDefault="00B32D7E">
      <w:pPr>
        <w:pStyle w:val="IASBNormal"/>
        <w:ind w:left="780" w:hanging="780"/>
      </w:pPr>
      <w:bookmarkStart w:id="7" w:name="SUB3800"/>
      <w:bookmarkEnd w:id="7"/>
      <w:r>
        <w:rPr>
          <w:sz w:val="24"/>
          <w:szCs w:val="24"/>
        </w:rPr>
        <w:t>38.         Когда доля организации в убытках ассоциированной организации или совместного предприятия становится равна ее доле участия в ассоциированной организации или совместном предприятии или превышает</w:t>
      </w:r>
      <w:r>
        <w:rPr>
          <w:sz w:val="24"/>
          <w:szCs w:val="24"/>
        </w:rPr>
        <w:t xml:space="preserve"> эту долю, организация прекращает признание своей доли в дальнейших убытках. Доля участия в ассоциированной организации или совместном предприятии соответствует балансовой стоимости инвестиций в ассоциированную организацию или совместное предприятие, учиты</w:t>
      </w:r>
      <w:r>
        <w:rPr>
          <w:sz w:val="24"/>
          <w:szCs w:val="24"/>
        </w:rPr>
        <w:t>ваемых по методу долевого участия, вместе с долгосрочными вложениями, которые, в сущности, составляют часть чистых инвестиций организации в ассоциированную организацию или совместное предприятие. Например, статья, погашение которой в обозримом будущем не п</w:t>
      </w:r>
      <w:r>
        <w:rPr>
          <w:sz w:val="24"/>
          <w:szCs w:val="24"/>
        </w:rPr>
        <w:t>ланируется и не является вероятным, по существу, представляет собой дополнительные инвестиции организации в ассоциированную организацию или совместное предприятие. Такие статьи могут включать привилегированные акции и долгосрочную дебиторскую задолженность</w:t>
      </w:r>
      <w:r>
        <w:rPr>
          <w:sz w:val="24"/>
          <w:szCs w:val="24"/>
        </w:rPr>
        <w:t xml:space="preserve"> или долгосрочные займы, но не включают торговую дебиторскую задолженность, торговую кредиторскую задолженность или долгосрочную дебиторскую задолженность, в отношении которой предоставлено адекватное обеспечение, такую как обеспеченные займы. Убытки, приз</w:t>
      </w:r>
      <w:r>
        <w:rPr>
          <w:sz w:val="24"/>
          <w:szCs w:val="24"/>
        </w:rPr>
        <w:t>нанные по методу долевого участия в размере, превышающем инвестиции организации в обыкновенные акции, относятся к другим компонентам доли участия организации в ассоциированной организации или совместном предприятии в обратном порядке старшинства (т. е. при</w:t>
      </w:r>
      <w:r>
        <w:rPr>
          <w:sz w:val="24"/>
          <w:szCs w:val="24"/>
        </w:rPr>
        <w:t>оритетности при ликвидации).</w:t>
      </w:r>
    </w:p>
    <w:p w:rsidR="00000000" w:rsidRDefault="00B32D7E">
      <w:pPr>
        <w:pStyle w:val="IASBNormal"/>
        <w:ind w:left="780" w:hanging="780"/>
      </w:pPr>
      <w:r>
        <w:rPr>
          <w:sz w:val="24"/>
          <w:szCs w:val="24"/>
        </w:rPr>
        <w:t>39.         После уменьшения доли участия организации до нуля дополнительные убытки и обязательства признаются только в той мере, в какой организация приняла на себя юридические или обусловленные практикой обязанности или совер</w:t>
      </w:r>
      <w:r>
        <w:rPr>
          <w:sz w:val="24"/>
          <w:szCs w:val="24"/>
        </w:rPr>
        <w:t>шила платежи от имени ассоциированной организации или совместного предприятия. Если впоследствии ассоциированная организация или совместное предприятие отражают прибыль, организация возобновляет признание своей доли в этой прибыли только после того, как ее</w:t>
      </w:r>
      <w:r>
        <w:rPr>
          <w:sz w:val="24"/>
          <w:szCs w:val="24"/>
        </w:rPr>
        <w:t xml:space="preserve"> доля в прибыли становится равной непризнанной доле в убытках.</w:t>
      </w:r>
    </w:p>
    <w:p w:rsidR="00000000" w:rsidRDefault="00B32D7E">
      <w:pPr>
        <w:pStyle w:val="DaveIASBSubsectionTitle"/>
      </w:pPr>
      <w:r>
        <w:rPr>
          <w:rFonts w:ascii="Times New Roman" w:hAnsi="Times New Roman" w:cs="Times New Roman"/>
          <w:sz w:val="24"/>
          <w:szCs w:val="24"/>
        </w:rPr>
        <w:t>Убытки от обесценения</w:t>
      </w:r>
    </w:p>
    <w:p w:rsidR="00000000" w:rsidRDefault="00B32D7E">
      <w:pPr>
        <w:pStyle w:val="IASBNormal"/>
        <w:ind w:left="780" w:hanging="780"/>
      </w:pPr>
      <w:r>
        <w:rPr>
          <w:sz w:val="24"/>
          <w:szCs w:val="24"/>
        </w:rPr>
        <w:t xml:space="preserve">40.         После применения метода долевого участия, включая признание убытков ассоциированной организации или совместного предприятия в соответствии с </w:t>
      </w:r>
      <w:hyperlink w:anchor="sub3800" w:history="1">
        <w:r>
          <w:rPr>
            <w:rStyle w:val="a3"/>
            <w:sz w:val="24"/>
            <w:szCs w:val="24"/>
          </w:rPr>
          <w:t>пунктом 38</w:t>
        </w:r>
      </w:hyperlink>
      <w:r>
        <w:rPr>
          <w:sz w:val="24"/>
          <w:szCs w:val="24"/>
        </w:rPr>
        <w:t xml:space="preserve">, организация применяет требования </w:t>
      </w:r>
      <w:hyperlink r:id="rId24" w:history="1">
        <w:r>
          <w:rPr>
            <w:rStyle w:val="a3"/>
            <w:sz w:val="24"/>
            <w:szCs w:val="24"/>
          </w:rPr>
          <w:t>МСФО (IAS) 39</w:t>
        </w:r>
      </w:hyperlink>
      <w:r>
        <w:rPr>
          <w:sz w:val="24"/>
          <w:szCs w:val="24"/>
        </w:rPr>
        <w:t xml:space="preserve"> </w:t>
      </w:r>
      <w:r>
        <w:rPr>
          <w:i/>
          <w:iCs/>
          <w:sz w:val="24"/>
          <w:szCs w:val="24"/>
        </w:rPr>
        <w:t>«Финансовые инструменты: признание и оценка»</w:t>
      </w:r>
      <w:r>
        <w:rPr>
          <w:sz w:val="24"/>
          <w:szCs w:val="24"/>
        </w:rPr>
        <w:t xml:space="preserve"> </w:t>
      </w:r>
      <w:r>
        <w:rPr>
          <w:sz w:val="24"/>
          <w:szCs w:val="24"/>
        </w:rPr>
        <w:t xml:space="preserve">с целью определения необходимости признать какие-либо дополнительные убытки от обесценения в отношении чистых инвестиций организации в ассоциированную организацию или совместное предприятие. </w:t>
      </w:r>
    </w:p>
    <w:p w:rsidR="00000000" w:rsidRDefault="00B32D7E">
      <w:pPr>
        <w:jc w:val="both"/>
      </w:pPr>
      <w:r>
        <w:rPr>
          <w:rStyle w:val="s3"/>
        </w:rPr>
        <w:t xml:space="preserve">См. поправки - </w:t>
      </w:r>
      <w:hyperlink r:id="rId25" w:anchor="sub_id=28" w:history="1">
        <w:r>
          <w:rPr>
            <w:rStyle w:val="a3"/>
            <w:i/>
            <w:iCs/>
          </w:rPr>
          <w:t>МСФО (IFRS) 9</w:t>
        </w:r>
      </w:hyperlink>
    </w:p>
    <w:p w:rsidR="00000000" w:rsidRDefault="00B32D7E">
      <w:pPr>
        <w:pStyle w:val="IASBNormal"/>
        <w:ind w:left="780" w:hanging="780"/>
      </w:pPr>
      <w:r>
        <w:rPr>
          <w:sz w:val="24"/>
          <w:szCs w:val="24"/>
        </w:rPr>
        <w:t>41.         Организация также применяет требования МСФО (IAS) 39 с целью определения необходимости признать дополнительные убытки от обесценения в отношении доли участия организации в ассоциированной организации</w:t>
      </w:r>
      <w:r>
        <w:rPr>
          <w:sz w:val="24"/>
          <w:szCs w:val="24"/>
        </w:rPr>
        <w:t xml:space="preserve"> или совместном предприятии, которая не является частью чистых инвестиций, а также с целью определения суммы таких убытков от обесценения. </w:t>
      </w:r>
    </w:p>
    <w:p w:rsidR="00000000" w:rsidRDefault="00B32D7E">
      <w:pPr>
        <w:pStyle w:val="IASBNormal"/>
        <w:ind w:left="780" w:hanging="780"/>
      </w:pPr>
      <w:r>
        <w:rPr>
          <w:sz w:val="24"/>
          <w:szCs w:val="24"/>
        </w:rPr>
        <w:t>41A</w:t>
      </w:r>
      <w:r>
        <w:rPr>
          <w:i/>
          <w:iCs/>
          <w:sz w:val="24"/>
          <w:szCs w:val="24"/>
        </w:rPr>
        <w:t>-</w:t>
      </w:r>
      <w:r>
        <w:rPr>
          <w:sz w:val="24"/>
          <w:szCs w:val="24"/>
        </w:rPr>
        <w:t xml:space="preserve">41C        </w:t>
      </w:r>
      <w:r>
        <w:rPr>
          <w:i/>
          <w:iCs/>
          <w:sz w:val="24"/>
          <w:szCs w:val="24"/>
        </w:rPr>
        <w:t>[Данные пункты касаются поправок, еще не вступивших в силу, и поэтому не включены в настоящую редакци</w:t>
      </w:r>
      <w:r>
        <w:rPr>
          <w:i/>
          <w:iCs/>
          <w:sz w:val="24"/>
          <w:szCs w:val="24"/>
        </w:rPr>
        <w:t>ю.]</w:t>
      </w:r>
    </w:p>
    <w:p w:rsidR="00000000" w:rsidRDefault="00B32D7E">
      <w:pPr>
        <w:jc w:val="both"/>
      </w:pPr>
      <w:r>
        <w:rPr>
          <w:rStyle w:val="s3"/>
        </w:rPr>
        <w:t xml:space="preserve">См. поправки - </w:t>
      </w:r>
      <w:hyperlink r:id="rId26" w:anchor="sub_id=28" w:history="1">
        <w:r>
          <w:rPr>
            <w:rStyle w:val="a3"/>
            <w:i/>
            <w:iCs/>
          </w:rPr>
          <w:t>МСФО (IFRS) 9</w:t>
        </w:r>
      </w:hyperlink>
    </w:p>
    <w:p w:rsidR="00000000" w:rsidRDefault="00B32D7E">
      <w:pPr>
        <w:pStyle w:val="IASBNormal"/>
        <w:ind w:left="780" w:hanging="780"/>
      </w:pPr>
      <w:r>
        <w:rPr>
          <w:sz w:val="24"/>
          <w:szCs w:val="24"/>
        </w:rPr>
        <w:t>42.         Поскольку гудвил, который является частью балансовой стоимости инвестиций в ассоциированную организацию или совместное предприятие,</w:t>
      </w:r>
      <w:r>
        <w:rPr>
          <w:sz w:val="24"/>
          <w:szCs w:val="24"/>
        </w:rPr>
        <w:t xml:space="preserve"> не признается отдельно, он не подлежит отдельному тестированию на обесценение с применением требований для теста на обесценение гудвила, установленных </w:t>
      </w:r>
      <w:hyperlink r:id="rId27" w:history="1">
        <w:r>
          <w:rPr>
            <w:rStyle w:val="a3"/>
            <w:sz w:val="24"/>
            <w:szCs w:val="24"/>
          </w:rPr>
          <w:t>МСФО (IAS) 36</w:t>
        </w:r>
      </w:hyperlink>
      <w:r>
        <w:rPr>
          <w:sz w:val="24"/>
          <w:szCs w:val="24"/>
        </w:rPr>
        <w:t xml:space="preserve"> </w:t>
      </w:r>
      <w:r>
        <w:rPr>
          <w:i/>
          <w:iCs/>
          <w:sz w:val="24"/>
          <w:szCs w:val="24"/>
        </w:rPr>
        <w:t>«Обесценение активов»</w:t>
      </w:r>
      <w:r>
        <w:rPr>
          <w:sz w:val="24"/>
          <w:szCs w:val="24"/>
        </w:rPr>
        <w:t>. Вме</w:t>
      </w:r>
      <w:r>
        <w:rPr>
          <w:sz w:val="24"/>
          <w:szCs w:val="24"/>
        </w:rPr>
        <w:t>сто этого вся балансовая стоимость инвестиций тестируется на обесценение согласно МСФО (IAS) 36 как единый актив путем сопоставления их возмещаемой суммы (представляющей собой наибольшее из двух значений: ценность использования или справедливая стоимость з</w:t>
      </w:r>
      <w:r>
        <w:rPr>
          <w:sz w:val="24"/>
          <w:szCs w:val="24"/>
        </w:rPr>
        <w:t xml:space="preserve">а вычетом затрат на продажу) с их балансовой стоимостью в тех случаях, когда применение требований </w:t>
      </w:r>
      <w:hyperlink r:id="rId28" w:history="1">
        <w:r>
          <w:rPr>
            <w:rStyle w:val="a3"/>
            <w:sz w:val="24"/>
            <w:szCs w:val="24"/>
          </w:rPr>
          <w:t>МСФО (IAS) 39</w:t>
        </w:r>
      </w:hyperlink>
      <w:r>
        <w:rPr>
          <w:sz w:val="24"/>
          <w:szCs w:val="24"/>
        </w:rPr>
        <w:t xml:space="preserve"> показывает, что инвестиции могли подвергнуться обесценению. Убыток от обесцене</w:t>
      </w:r>
      <w:r>
        <w:rPr>
          <w:sz w:val="24"/>
          <w:szCs w:val="24"/>
        </w:rPr>
        <w:t>ния, признаваемый в таких обстоятельствах, не относится на какой-либо актив, включая гудвил, входящий в состав балансовой стоимости инвестиций в ассоциированную организацию или совместное предприятие. Следовательно, любое восстановление такого убытка от об</w:t>
      </w:r>
      <w:r>
        <w:rPr>
          <w:sz w:val="24"/>
          <w:szCs w:val="24"/>
        </w:rPr>
        <w:t xml:space="preserve">есценения признается в соответствии с </w:t>
      </w:r>
      <w:hyperlink r:id="rId29" w:history="1">
        <w:r>
          <w:rPr>
            <w:rStyle w:val="a3"/>
            <w:sz w:val="24"/>
            <w:szCs w:val="24"/>
          </w:rPr>
          <w:t>МСФО (IAS) 36</w:t>
        </w:r>
      </w:hyperlink>
      <w:r>
        <w:rPr>
          <w:sz w:val="24"/>
          <w:szCs w:val="24"/>
        </w:rPr>
        <w:t xml:space="preserve"> в том случае, если возмещаемая сумма инвестиций впоследствии возрастает. При определении ценности использования инвестиций организация оцени</w:t>
      </w:r>
      <w:r>
        <w:rPr>
          <w:sz w:val="24"/>
          <w:szCs w:val="24"/>
        </w:rPr>
        <w:t xml:space="preserve">вает: </w:t>
      </w:r>
    </w:p>
    <w:p w:rsidR="00000000" w:rsidRDefault="00B32D7E">
      <w:pPr>
        <w:pStyle w:val="IASBNormal"/>
        <w:ind w:left="1560" w:hanging="780"/>
      </w:pPr>
      <w:r>
        <w:rPr>
          <w:sz w:val="24"/>
          <w:szCs w:val="24"/>
        </w:rPr>
        <w:t>(a)         свою долю в приведенной стоимости расчетных будущих денежных потоков, которые, как ожидается, будут сгенерированы ассоциированной организацией или совместным предприятием, включая денежные потоки от операций ассоциированной организации и</w:t>
      </w:r>
      <w:r>
        <w:rPr>
          <w:sz w:val="24"/>
          <w:szCs w:val="24"/>
        </w:rPr>
        <w:t>ли совместного предприятия и поступления от окончательного выбытия инвестиций; или</w:t>
      </w:r>
    </w:p>
    <w:p w:rsidR="00000000" w:rsidRDefault="00B32D7E">
      <w:pPr>
        <w:pStyle w:val="IASBNormal"/>
        <w:ind w:left="1560" w:hanging="780"/>
      </w:pPr>
      <w:r>
        <w:rPr>
          <w:sz w:val="24"/>
          <w:szCs w:val="24"/>
        </w:rPr>
        <w:t>(b)         приведенную стоимость расчетных будущих денежных потоков в виде дивидендов, ожидаемых к получению от инвестиций и от окончательного выбытия инвестиций.</w:t>
      </w:r>
    </w:p>
    <w:p w:rsidR="00000000" w:rsidRDefault="00B32D7E">
      <w:pPr>
        <w:pStyle w:val="IASBNormal"/>
        <w:ind w:left="780"/>
      </w:pPr>
      <w:r>
        <w:rPr>
          <w:sz w:val="24"/>
          <w:szCs w:val="24"/>
        </w:rPr>
        <w:t>При прави</w:t>
      </w:r>
      <w:r>
        <w:rPr>
          <w:sz w:val="24"/>
          <w:szCs w:val="24"/>
        </w:rPr>
        <w:t xml:space="preserve">льных допущениях оба метода дают один и тот же результат. </w:t>
      </w:r>
    </w:p>
    <w:p w:rsidR="00000000" w:rsidRDefault="00B32D7E">
      <w:pPr>
        <w:pStyle w:val="IASBNormal"/>
        <w:ind w:left="780" w:hanging="780"/>
      </w:pPr>
      <w:r>
        <w:rPr>
          <w:sz w:val="24"/>
          <w:szCs w:val="24"/>
        </w:rPr>
        <w:t>43.         Возмещаемая сумма инвестиций в ассоциированную организацию или совместное предприятие оценивается по каждой ассоциированной организации или совместному предприятию в отдельности, за иск</w:t>
      </w:r>
      <w:r>
        <w:rPr>
          <w:sz w:val="24"/>
          <w:szCs w:val="24"/>
        </w:rPr>
        <w:t>лючением случаев, когда ассоциированная организация или совместное предприятие не генерируют денежные притоки от продолжающейся деятельности, которые были бы в основном независимы от денежных притоков от прочих активов организации.</w:t>
      </w:r>
    </w:p>
    <w:p w:rsidR="00000000" w:rsidRDefault="00B32D7E">
      <w:pPr>
        <w:pStyle w:val="IASBSectionTitleU"/>
      </w:pPr>
      <w:r>
        <w:rPr>
          <w:rFonts w:ascii="Times New Roman" w:hAnsi="Times New Roman" w:cs="Times New Roman"/>
          <w:sz w:val="24"/>
          <w:szCs w:val="24"/>
        </w:rPr>
        <w:t>Отдельная финансовая отч</w:t>
      </w:r>
      <w:r>
        <w:rPr>
          <w:rFonts w:ascii="Times New Roman" w:hAnsi="Times New Roman" w:cs="Times New Roman"/>
          <w:sz w:val="24"/>
          <w:szCs w:val="24"/>
        </w:rPr>
        <w:t>етность</w:t>
      </w:r>
    </w:p>
    <w:p w:rsidR="00000000" w:rsidRDefault="00B32D7E">
      <w:pPr>
        <w:pStyle w:val="IASBNormal"/>
        <w:ind w:left="780" w:hanging="780"/>
      </w:pPr>
      <w:r>
        <w:rPr>
          <w:sz w:val="24"/>
          <w:szCs w:val="24"/>
        </w:rPr>
        <w:t xml:space="preserve">44.         Инвестиции в ассоциированную организацию или совместное предприятие должны отражаться в отдельной финансовой отчетности организации в соответствии с </w:t>
      </w:r>
      <w:hyperlink r:id="rId30" w:anchor="sub_id=1000" w:history="1">
        <w:r>
          <w:rPr>
            <w:rStyle w:val="a3"/>
            <w:sz w:val="24"/>
            <w:szCs w:val="24"/>
          </w:rPr>
          <w:t>пункт</w:t>
        </w:r>
        <w:r>
          <w:rPr>
            <w:rStyle w:val="a3"/>
            <w:sz w:val="24"/>
            <w:szCs w:val="24"/>
          </w:rPr>
          <w:t>ом 10</w:t>
        </w:r>
      </w:hyperlink>
      <w:r>
        <w:rPr>
          <w:sz w:val="24"/>
          <w:szCs w:val="24"/>
        </w:rPr>
        <w:t xml:space="preserve"> МСФО (IAS) 27 (с учетом поправок 2011 года). </w:t>
      </w:r>
    </w:p>
    <w:p w:rsidR="00000000" w:rsidRDefault="00B32D7E">
      <w:pPr>
        <w:pStyle w:val="IASBSectionTitleU"/>
      </w:pPr>
      <w:r>
        <w:rPr>
          <w:rFonts w:ascii="Times New Roman" w:hAnsi="Times New Roman" w:cs="Times New Roman"/>
          <w:sz w:val="24"/>
          <w:szCs w:val="24"/>
        </w:rPr>
        <w:t xml:space="preserve">Дата вступления в силу и переходные положения </w:t>
      </w:r>
    </w:p>
    <w:p w:rsidR="00000000" w:rsidRDefault="00B32D7E">
      <w:pPr>
        <w:pStyle w:val="IASBNormal"/>
        <w:ind w:left="780" w:hanging="780"/>
      </w:pPr>
      <w:r>
        <w:rPr>
          <w:sz w:val="24"/>
          <w:szCs w:val="24"/>
        </w:rPr>
        <w:t>45.         Организация должна применять настоящий стандарт для годовых периодов, начинающихся 1 января 2013 года или позднее. Допускается досрочное применен</w:t>
      </w:r>
      <w:r>
        <w:rPr>
          <w:sz w:val="24"/>
          <w:szCs w:val="24"/>
        </w:rPr>
        <w:t xml:space="preserve">ие. Если организация применит настоящий стандарт в отношении более раннего периода, она должна раскрыть этот факт и применить стандарт одновременно с </w:t>
      </w:r>
      <w:hyperlink r:id="rId31" w:history="1">
        <w:r>
          <w:rPr>
            <w:rStyle w:val="a3"/>
            <w:sz w:val="24"/>
            <w:szCs w:val="24"/>
          </w:rPr>
          <w:t>МСФО (IFRS) 10</w:t>
        </w:r>
      </w:hyperlink>
      <w:r>
        <w:rPr>
          <w:sz w:val="24"/>
          <w:szCs w:val="24"/>
        </w:rPr>
        <w:t xml:space="preserve">, </w:t>
      </w:r>
      <w:hyperlink r:id="rId32" w:history="1">
        <w:r>
          <w:rPr>
            <w:rStyle w:val="a3"/>
            <w:sz w:val="24"/>
            <w:szCs w:val="24"/>
          </w:rPr>
          <w:t>МСФО (IFRS) 11</w:t>
        </w:r>
      </w:hyperlink>
      <w:r>
        <w:rPr>
          <w:sz w:val="24"/>
          <w:szCs w:val="24"/>
        </w:rPr>
        <w:t xml:space="preserve"> </w:t>
      </w:r>
      <w:r>
        <w:rPr>
          <w:i/>
          <w:iCs/>
          <w:sz w:val="24"/>
          <w:szCs w:val="24"/>
        </w:rPr>
        <w:t>«Совместное предпринимательство»</w:t>
      </w:r>
      <w:r>
        <w:rPr>
          <w:sz w:val="24"/>
          <w:szCs w:val="24"/>
        </w:rPr>
        <w:t xml:space="preserve">, </w:t>
      </w:r>
      <w:hyperlink r:id="rId33" w:history="1">
        <w:r>
          <w:rPr>
            <w:rStyle w:val="a3"/>
            <w:sz w:val="24"/>
            <w:szCs w:val="24"/>
          </w:rPr>
          <w:t>МСФО (IFRS) 12</w:t>
        </w:r>
      </w:hyperlink>
      <w:r>
        <w:rPr>
          <w:sz w:val="24"/>
          <w:szCs w:val="24"/>
        </w:rPr>
        <w:t xml:space="preserve"> </w:t>
      </w:r>
      <w:r>
        <w:rPr>
          <w:i/>
          <w:iCs/>
          <w:sz w:val="24"/>
          <w:szCs w:val="24"/>
        </w:rPr>
        <w:t>«Раскрытие информации об участии в других организациях»</w:t>
      </w:r>
      <w:r>
        <w:rPr>
          <w:sz w:val="24"/>
          <w:szCs w:val="24"/>
        </w:rPr>
        <w:t xml:space="preserve"> и </w:t>
      </w:r>
      <w:hyperlink r:id="rId34" w:history="1">
        <w:r>
          <w:rPr>
            <w:rStyle w:val="a3"/>
            <w:sz w:val="24"/>
            <w:szCs w:val="24"/>
          </w:rPr>
          <w:t>МСФО (IAS) 27</w:t>
        </w:r>
      </w:hyperlink>
      <w:r>
        <w:rPr>
          <w:sz w:val="24"/>
          <w:szCs w:val="24"/>
        </w:rPr>
        <w:t xml:space="preserve"> (с учетом поправок 2011 года). </w:t>
      </w:r>
    </w:p>
    <w:p w:rsidR="00000000" w:rsidRDefault="00B32D7E">
      <w:pPr>
        <w:pStyle w:val="IASBNormal"/>
        <w:ind w:left="780" w:hanging="780"/>
      </w:pPr>
      <w:r>
        <w:rPr>
          <w:sz w:val="24"/>
          <w:szCs w:val="24"/>
        </w:rPr>
        <w:t>45A</w:t>
      </w:r>
      <w:r>
        <w:rPr>
          <w:i/>
          <w:iCs/>
          <w:sz w:val="24"/>
          <w:szCs w:val="24"/>
        </w:rPr>
        <w:t>-</w:t>
      </w:r>
      <w:r>
        <w:rPr>
          <w:sz w:val="24"/>
          <w:szCs w:val="24"/>
        </w:rPr>
        <w:t xml:space="preserve">45C        </w:t>
      </w:r>
      <w:r>
        <w:rPr>
          <w:i/>
          <w:iCs/>
          <w:sz w:val="24"/>
          <w:szCs w:val="24"/>
        </w:rPr>
        <w:t>[Данные пункты касаются поправок, еще не вступивших в силу, и поэтому не включены в настоящую редакцию.]</w:t>
      </w:r>
    </w:p>
    <w:p w:rsidR="00000000" w:rsidRDefault="00B32D7E">
      <w:pPr>
        <w:jc w:val="both"/>
      </w:pPr>
      <w:r>
        <w:rPr>
          <w:rStyle w:val="s3"/>
        </w:rPr>
        <w:t xml:space="preserve">См. поправки - </w:t>
      </w:r>
      <w:hyperlink r:id="rId35" w:anchor="sub_id=28" w:history="1">
        <w:r>
          <w:rPr>
            <w:rStyle w:val="a3"/>
            <w:i/>
            <w:iCs/>
          </w:rPr>
          <w:t>МСФО (IFRS) 9</w:t>
        </w:r>
      </w:hyperlink>
    </w:p>
    <w:p w:rsidR="00000000" w:rsidRDefault="00B32D7E">
      <w:pPr>
        <w:jc w:val="both"/>
      </w:pPr>
      <w:r>
        <w:rPr>
          <w:rStyle w:val="s3"/>
        </w:rPr>
        <w:t xml:space="preserve">См. </w:t>
      </w:r>
      <w:hyperlink r:id="rId36" w:history="1">
        <w:r>
          <w:rPr>
            <w:rStyle w:val="a3"/>
            <w:i/>
            <w:iCs/>
          </w:rPr>
          <w:t>поправки</w:t>
        </w:r>
      </w:hyperlink>
    </w:p>
    <w:p w:rsidR="00000000" w:rsidRDefault="00B32D7E">
      <w:pPr>
        <w:pStyle w:val="DaveIASBSubsectionTitle"/>
      </w:pPr>
      <w:r>
        <w:rPr>
          <w:rFonts w:ascii="Times New Roman" w:hAnsi="Times New Roman" w:cs="Times New Roman"/>
          <w:sz w:val="24"/>
          <w:szCs w:val="24"/>
        </w:rPr>
        <w:t>Ссылки на МСФО (IFRS) 9</w:t>
      </w:r>
    </w:p>
    <w:p w:rsidR="00000000" w:rsidRDefault="00B32D7E">
      <w:pPr>
        <w:pStyle w:val="IASBNormal"/>
        <w:ind w:left="780" w:hanging="780"/>
      </w:pPr>
      <w:r>
        <w:rPr>
          <w:sz w:val="24"/>
          <w:szCs w:val="24"/>
        </w:rPr>
        <w:t>46.         Если организация применяет настоящий стандарт, н</w:t>
      </w:r>
      <w:r>
        <w:rPr>
          <w:sz w:val="24"/>
          <w:szCs w:val="24"/>
        </w:rPr>
        <w:t xml:space="preserve">о все еще не применяет </w:t>
      </w:r>
      <w:hyperlink r:id="rId37" w:history="1">
        <w:r>
          <w:rPr>
            <w:rStyle w:val="a3"/>
            <w:sz w:val="24"/>
            <w:szCs w:val="24"/>
          </w:rPr>
          <w:t>МСФО (IFRS) 9</w:t>
        </w:r>
      </w:hyperlink>
      <w:r>
        <w:rPr>
          <w:sz w:val="24"/>
          <w:szCs w:val="24"/>
        </w:rPr>
        <w:t xml:space="preserve">, любая ссылка на МСФО (IFRS) 9 должна читаться как ссылка на </w:t>
      </w:r>
      <w:hyperlink r:id="rId38" w:history="1">
        <w:r>
          <w:rPr>
            <w:rStyle w:val="a3"/>
            <w:sz w:val="24"/>
            <w:szCs w:val="24"/>
          </w:rPr>
          <w:t>МСФО (IAS) 39</w:t>
        </w:r>
      </w:hyperlink>
      <w:r>
        <w:rPr>
          <w:sz w:val="24"/>
          <w:szCs w:val="24"/>
        </w:rPr>
        <w:t>.</w:t>
      </w:r>
    </w:p>
    <w:p w:rsidR="00000000" w:rsidRDefault="00B32D7E">
      <w:pPr>
        <w:pStyle w:val="IASBSectionTitleU"/>
      </w:pPr>
      <w:r>
        <w:rPr>
          <w:rFonts w:ascii="Times New Roman" w:hAnsi="Times New Roman" w:cs="Times New Roman"/>
          <w:sz w:val="24"/>
          <w:szCs w:val="24"/>
        </w:rPr>
        <w:t>Прекращение д</w:t>
      </w:r>
      <w:r>
        <w:rPr>
          <w:rFonts w:ascii="Times New Roman" w:hAnsi="Times New Roman" w:cs="Times New Roman"/>
          <w:sz w:val="24"/>
          <w:szCs w:val="24"/>
        </w:rPr>
        <w:t>ействия МСФО (IAS) 28 (пересмотренного в 2003 году)</w:t>
      </w:r>
    </w:p>
    <w:p w:rsidR="00000000" w:rsidRDefault="00B32D7E">
      <w:pPr>
        <w:pStyle w:val="IASBNormal"/>
        <w:ind w:left="780" w:hanging="780"/>
      </w:pPr>
      <w:r>
        <w:rPr>
          <w:sz w:val="24"/>
          <w:szCs w:val="24"/>
        </w:rPr>
        <w:t xml:space="preserve">47.         Настоящий стандарт заменяет МСФО (IAS) 28 </w:t>
      </w:r>
      <w:r>
        <w:rPr>
          <w:i/>
          <w:iCs/>
          <w:sz w:val="24"/>
          <w:szCs w:val="24"/>
        </w:rPr>
        <w:t>«Инвестиции в ассоциированные организации»</w:t>
      </w:r>
      <w:r>
        <w:rPr>
          <w:sz w:val="24"/>
          <w:szCs w:val="24"/>
        </w:rPr>
        <w:t xml:space="preserve"> (пересмотренный в 2003 году).</w:t>
      </w:r>
    </w:p>
    <w:p w:rsidR="00000000" w:rsidRDefault="00B32D7E">
      <w:r>
        <w:t> </w:t>
      </w:r>
    </w:p>
    <w:p w:rsidR="00000000" w:rsidRDefault="00B32D7E">
      <w:pPr>
        <w:jc w:val="center"/>
      </w:pPr>
      <w: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D7E" w:rsidRDefault="00B32D7E" w:rsidP="00B32D7E">
      <w:r>
        <w:separator/>
      </w:r>
    </w:p>
  </w:endnote>
  <w:endnote w:type="continuationSeparator" w:id="0">
    <w:p w:rsidR="00B32D7E" w:rsidRDefault="00B32D7E" w:rsidP="00B32D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7E" w:rsidRDefault="00B32D7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7E" w:rsidRDefault="00B32D7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7E" w:rsidRDefault="00B32D7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D7E" w:rsidRDefault="00B32D7E" w:rsidP="00B32D7E">
      <w:r>
        <w:separator/>
      </w:r>
    </w:p>
  </w:footnote>
  <w:footnote w:type="continuationSeparator" w:id="0">
    <w:p w:rsidR="00B32D7E" w:rsidRDefault="00B32D7E" w:rsidP="00B32D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7E" w:rsidRDefault="00B32D7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7E" w:rsidRDefault="00B32D7E" w:rsidP="00B32D7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2D7E" w:rsidRPr="00B32D7E" w:rsidRDefault="00B32D7E" w:rsidP="00B32D7E">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28 «Инвестиции в ассоциированные организации и совместные предприятия» (2015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7E" w:rsidRDefault="00B32D7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2D7E"/>
    <w:rsid w:val="00B32D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2D7E"/>
    <w:pPr>
      <w:tabs>
        <w:tab w:val="center" w:pos="4677"/>
        <w:tab w:val="right" w:pos="9355"/>
      </w:tabs>
    </w:pPr>
  </w:style>
  <w:style w:type="character" w:customStyle="1" w:styleId="a6">
    <w:name w:val="Верхний колонтитул Знак"/>
    <w:basedOn w:val="a0"/>
    <w:link w:val="a5"/>
    <w:uiPriority w:val="99"/>
    <w:rsid w:val="00B32D7E"/>
    <w:rPr>
      <w:rFonts w:eastAsiaTheme="minorEastAsia"/>
      <w:color w:val="000000"/>
      <w:sz w:val="24"/>
      <w:szCs w:val="24"/>
    </w:rPr>
  </w:style>
  <w:style w:type="paragraph" w:styleId="a7">
    <w:name w:val="footer"/>
    <w:basedOn w:val="a"/>
    <w:link w:val="a8"/>
    <w:uiPriority w:val="99"/>
    <w:unhideWhenUsed/>
    <w:rsid w:val="00B32D7E"/>
    <w:pPr>
      <w:tabs>
        <w:tab w:val="center" w:pos="4677"/>
        <w:tab w:val="right" w:pos="9355"/>
      </w:tabs>
    </w:pPr>
  </w:style>
  <w:style w:type="character" w:customStyle="1" w:styleId="a8">
    <w:name w:val="Нижний колонтитул Знак"/>
    <w:basedOn w:val="a0"/>
    <w:link w:val="a7"/>
    <w:uiPriority w:val="99"/>
    <w:rsid w:val="00B32D7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2D7E"/>
    <w:pPr>
      <w:tabs>
        <w:tab w:val="center" w:pos="4677"/>
        <w:tab w:val="right" w:pos="9355"/>
      </w:tabs>
    </w:pPr>
  </w:style>
  <w:style w:type="character" w:customStyle="1" w:styleId="a6">
    <w:name w:val="Верхний колонтитул Знак"/>
    <w:basedOn w:val="a0"/>
    <w:link w:val="a5"/>
    <w:uiPriority w:val="99"/>
    <w:rsid w:val="00B32D7E"/>
    <w:rPr>
      <w:rFonts w:eastAsiaTheme="minorEastAsia"/>
      <w:color w:val="000000"/>
      <w:sz w:val="24"/>
      <w:szCs w:val="24"/>
    </w:rPr>
  </w:style>
  <w:style w:type="paragraph" w:styleId="a7">
    <w:name w:val="footer"/>
    <w:basedOn w:val="a"/>
    <w:link w:val="a8"/>
    <w:uiPriority w:val="99"/>
    <w:unhideWhenUsed/>
    <w:rsid w:val="00B32D7E"/>
    <w:pPr>
      <w:tabs>
        <w:tab w:val="center" w:pos="4677"/>
        <w:tab w:val="right" w:pos="9355"/>
      </w:tabs>
    </w:pPr>
  </w:style>
  <w:style w:type="character" w:customStyle="1" w:styleId="a8">
    <w:name w:val="Нижний колонтитул Знак"/>
    <w:basedOn w:val="a0"/>
    <w:link w:val="a7"/>
    <w:uiPriority w:val="99"/>
    <w:rsid w:val="00B32D7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026893" TargetMode="External"/><Relationship Id="rId18" Type="http://schemas.openxmlformats.org/officeDocument/2006/relationships/hyperlink" Target="http://online.zakon.kz/Document/?doc_id=31026893" TargetMode="External"/><Relationship Id="rId26" Type="http://schemas.openxmlformats.org/officeDocument/2006/relationships/hyperlink" Target="http://online.zakon.kz/Document/?doc_id=31026893" TargetMode="External"/><Relationship Id="rId39" Type="http://schemas.openxmlformats.org/officeDocument/2006/relationships/header" Target="header1.xml"/><Relationship Id="rId21" Type="http://schemas.openxmlformats.org/officeDocument/2006/relationships/hyperlink" Target="http://online.zakon.kz/Document/?doc_id=31026893" TargetMode="External"/><Relationship Id="rId34" Type="http://schemas.openxmlformats.org/officeDocument/2006/relationships/hyperlink" Target="http://online.zakon.kz/Document/?doc_id=30003721" TargetMode="External"/><Relationship Id="rId42" Type="http://schemas.openxmlformats.org/officeDocument/2006/relationships/footer" Target="footer2.xml"/><Relationship Id="rId7" Type="http://schemas.openxmlformats.org/officeDocument/2006/relationships/hyperlink" Target="http://online.zakon.kz/Document/?doc_id=30003721" TargetMode="External"/><Relationship Id="rId2" Type="http://schemas.microsoft.com/office/2007/relationships/stylesWithEffects" Target="stylesWithEffects.xml"/><Relationship Id="rId16" Type="http://schemas.openxmlformats.org/officeDocument/2006/relationships/hyperlink" Target="http://online.zakon.kz/Document/?doc_id=31026893" TargetMode="External"/><Relationship Id="rId29" Type="http://schemas.openxmlformats.org/officeDocument/2006/relationships/hyperlink" Target="http://online.zakon.kz/Document/?doc_id=105174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26893" TargetMode="External"/><Relationship Id="rId24" Type="http://schemas.openxmlformats.org/officeDocument/2006/relationships/hyperlink" Target="http://online.zakon.kz/Document/?doc_id=30165826" TargetMode="External"/><Relationship Id="rId32" Type="http://schemas.openxmlformats.org/officeDocument/2006/relationships/hyperlink" Target="http://online.zakon.kz/Document/?doc_id=31271997" TargetMode="External"/><Relationship Id="rId37" Type="http://schemas.openxmlformats.org/officeDocument/2006/relationships/hyperlink" Target="http://online.zakon.kz/Document/?doc_id=31026893"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026893" TargetMode="External"/><Relationship Id="rId23" Type="http://schemas.openxmlformats.org/officeDocument/2006/relationships/hyperlink" Target="http://online.zakon.kz/Document/?doc_id=1051802" TargetMode="External"/><Relationship Id="rId28" Type="http://schemas.openxmlformats.org/officeDocument/2006/relationships/hyperlink" Target="http://online.zakon.kz/Document/?doc_id=30165826" TargetMode="External"/><Relationship Id="rId36" Type="http://schemas.openxmlformats.org/officeDocument/2006/relationships/hyperlink" Target="http://online.zakon.kz/Document/?doc_id=36849293" TargetMode="External"/><Relationship Id="rId10" Type="http://schemas.openxmlformats.org/officeDocument/2006/relationships/hyperlink" Target="http://online.zakon.kz/Document/?doc_id=1051785" TargetMode="External"/><Relationship Id="rId19" Type="http://schemas.openxmlformats.org/officeDocument/2006/relationships/hyperlink" Target="http://online.zakon.kz/Document/?doc_id=30165802" TargetMode="External"/><Relationship Id="rId31" Type="http://schemas.openxmlformats.org/officeDocument/2006/relationships/hyperlink" Target="http://online.zakon.kz/Document/?doc_id=31271976"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51785" TargetMode="External"/><Relationship Id="rId14" Type="http://schemas.openxmlformats.org/officeDocument/2006/relationships/hyperlink" Target="http://online.zakon.kz/Document/?doc_id=31271976" TargetMode="External"/><Relationship Id="rId22" Type="http://schemas.openxmlformats.org/officeDocument/2006/relationships/hyperlink" Target="http://online.zakon.kz/Document/?doc_id=31271976" TargetMode="External"/><Relationship Id="rId27" Type="http://schemas.openxmlformats.org/officeDocument/2006/relationships/hyperlink" Target="http://online.zakon.kz/Document/?doc_id=1051741" TargetMode="External"/><Relationship Id="rId30" Type="http://schemas.openxmlformats.org/officeDocument/2006/relationships/hyperlink" Target="http://online.zakon.kz/Document/?doc_id=30003721" TargetMode="External"/><Relationship Id="rId35" Type="http://schemas.openxmlformats.org/officeDocument/2006/relationships/hyperlink" Target="http://online.zakon.kz/Document/?doc_id=31026893" TargetMode="External"/><Relationship Id="rId43" Type="http://schemas.openxmlformats.org/officeDocument/2006/relationships/header" Target="header3.xml"/><Relationship Id="rId8" Type="http://schemas.openxmlformats.org/officeDocument/2006/relationships/hyperlink" Target="http://online.zakon.kz/Document/?doc_id=31271976" TargetMode="External"/><Relationship Id="rId3" Type="http://schemas.openxmlformats.org/officeDocument/2006/relationships/settings" Target="settings.xml"/><Relationship Id="rId12" Type="http://schemas.openxmlformats.org/officeDocument/2006/relationships/hyperlink" Target="http://online.zakon.kz/Document/?doc_id=31026893" TargetMode="External"/><Relationship Id="rId17" Type="http://schemas.openxmlformats.org/officeDocument/2006/relationships/hyperlink" Target="http://online.zakon.kz/Document/?doc_id=30060312" TargetMode="External"/><Relationship Id="rId25" Type="http://schemas.openxmlformats.org/officeDocument/2006/relationships/hyperlink" Target="http://online.zakon.kz/Document/?doc_id=31026893" TargetMode="External"/><Relationship Id="rId33" Type="http://schemas.openxmlformats.org/officeDocument/2006/relationships/hyperlink" Target="http://online.zakon.kz/Document/?doc_id=31272007" TargetMode="External"/><Relationship Id="rId38" Type="http://schemas.openxmlformats.org/officeDocument/2006/relationships/hyperlink" Target="http://online.zakon.kz/Document/?doc_id=30165826" TargetMode="External"/><Relationship Id="rId46" Type="http://schemas.openxmlformats.org/officeDocument/2006/relationships/theme" Target="theme/theme1.xml"/><Relationship Id="rId20" Type="http://schemas.openxmlformats.org/officeDocument/2006/relationships/hyperlink" Target="http://online.zakon.kz/Document/?doc_id=31271976" TargetMode="External"/><Relationship Id="rId4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3983</Words>
  <Characters>31447</Characters>
  <Application>Microsoft Office Word</Application>
  <DocSecurity>0</DocSecurity>
  <Lines>262</Lines>
  <Paragraphs>70</Paragraphs>
  <ScaleCrop>false</ScaleCrop>
  <Company/>
  <LinksUpToDate>false</LinksUpToDate>
  <CharactersWithSpaces>35360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28 «Инвестиции в ассоциированные организации и совместные предприятия» (2015 год) (©Paragraph 2023)</dc:title>
  <dc:subject/>
  <dc:creator>Сергей М</dc:creator>
  <cp:keywords/>
  <dc:description/>
  <cp:lastModifiedBy>Сергей М</cp:lastModifiedBy>
  <cp:revision>2</cp:revision>
  <dcterms:created xsi:type="dcterms:W3CDTF">2023-07-17T14:57:00Z</dcterms:created>
  <dcterms:modified xsi:type="dcterms:W3CDTF">2023-07-17T14:57:00Z</dcterms:modified>
</cp:coreProperties>
</file>