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C2ADF">
      <w:pPr>
        <w:pStyle w:val="pj"/>
      </w:pPr>
      <w:bookmarkStart w:id="0" w:name="_GoBack"/>
      <w:bookmarkEnd w:id="0"/>
      <w:r>
        <w:rPr>
          <w:rStyle w:val="s0"/>
          <w:b/>
          <w:bCs/>
        </w:rPr>
        <w:t>ГОСТ 18599-2001 «Трубы напорные из полиэтилена. Технические условия» (изм. 1, 2)</w:t>
      </w:r>
    </w:p>
    <w:p w:rsidR="00000000" w:rsidRDefault="005C2ADF">
      <w:pPr>
        <w:pStyle w:val="pj"/>
      </w:pPr>
      <w:r>
        <w:rPr>
          <w:rStyle w:val="s0"/>
        </w:rPr>
        <w:t> </w:t>
      </w:r>
    </w:p>
    <w:p w:rsidR="00000000" w:rsidRDefault="005C2ADF">
      <w:pPr>
        <w:pStyle w:val="pji"/>
      </w:pPr>
      <w:r>
        <w:rPr>
          <w:rStyle w:val="s3"/>
        </w:rPr>
        <w:t>В Библиографических данных: код: «ОКП 22 4811»</w:t>
      </w:r>
    </w:p>
    <w:p w:rsidR="00000000" w:rsidRDefault="005C2ADF">
      <w:pPr>
        <w:pStyle w:val="pji"/>
      </w:pPr>
      <w:r>
        <w:rPr>
          <w:rStyle w:val="s3"/>
        </w:rPr>
        <w:t>дополнены символами соответствия: «NEQ»</w:t>
      </w:r>
    </w:p>
    <w:p w:rsidR="00000000" w:rsidRDefault="005C2ADF">
      <w:pPr>
        <w:pStyle w:val="pj"/>
      </w:pPr>
      <w:r>
        <w:rPr>
          <w:b/>
          <w:bCs/>
        </w:rPr>
        <w:t xml:space="preserve">(Измененная редакция, </w:t>
      </w:r>
      <w:hyperlink r:id="rId7" w:history="1">
        <w:r>
          <w:rPr>
            <w:rStyle w:val="a4"/>
          </w:rPr>
          <w:t>Изм. № 2</w:t>
        </w:r>
      </w:hyperlink>
      <w:r>
        <w:rPr>
          <w:b/>
          <w:bCs/>
        </w:rPr>
        <w:t>).</w:t>
      </w:r>
    </w:p>
    <w:p w:rsidR="00000000" w:rsidRDefault="005C2ADF">
      <w:pPr>
        <w:pStyle w:val="pj"/>
      </w:pPr>
      <w:r>
        <w:t> </w:t>
      </w:r>
    </w:p>
    <w:p w:rsidR="00000000" w:rsidRDefault="005C2ADF">
      <w:pPr>
        <w:pStyle w:val="pj"/>
      </w:pPr>
      <w:r>
        <w:t>Внесены изменения:</w:t>
      </w:r>
    </w:p>
    <w:p w:rsidR="00000000" w:rsidRDefault="005C2ADF">
      <w:pPr>
        <w:pStyle w:val="pj"/>
      </w:pPr>
      <w:r>
        <w:t> </w:t>
      </w:r>
    </w:p>
    <w:p w:rsidR="00000000" w:rsidRDefault="005C2ADF">
      <w:pPr>
        <w:pStyle w:val="pj"/>
      </w:pPr>
      <w:hyperlink r:id="rId8" w:history="1">
        <w:r>
          <w:rPr>
            <w:rStyle w:val="a4"/>
          </w:rPr>
          <w:t>Изменением № 1</w:t>
        </w:r>
      </w:hyperlink>
      <w:r>
        <w:rPr>
          <w:rStyle w:val="s0"/>
        </w:rPr>
        <w:t xml:space="preserve"> (принято Межгосударственным советом по стандартизации, метрологии и сертификации (протокол № 27 от 22.06.2005</w:t>
      </w:r>
      <w:r>
        <w:rPr>
          <w:rStyle w:val="s3"/>
        </w:rPr>
        <w:t>) (</w:t>
      </w:r>
      <w:hyperlink r:id="rId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rPr>
          <w:rStyle w:val="s0"/>
        </w:rPr>
        <w:t>;</w:t>
      </w:r>
    </w:p>
    <w:p w:rsidR="00000000" w:rsidRDefault="005C2ADF">
      <w:pPr>
        <w:pStyle w:val="pj"/>
      </w:pPr>
      <w:hyperlink r:id="rId10" w:history="1">
        <w:r>
          <w:rPr>
            <w:rStyle w:val="a4"/>
          </w:rPr>
          <w:t>Изменением № 2</w:t>
        </w:r>
      </w:hyperlink>
      <w:r>
        <w:rPr>
          <w:rStyle w:val="s0"/>
        </w:rPr>
        <w:t xml:space="preserve"> (принято Межгосударственным советом по стандартизации, метрологии и сертификации (протокол № 54-П от 3.12.2012) (</w:t>
      </w:r>
      <w:hyperlink r:id="rId11" w:anchor="sub_id=2" w:history="1">
        <w:r>
          <w:rPr>
            <w:rStyle w:val="a4"/>
          </w:rPr>
          <w:t>ведено в действие</w:t>
        </w:r>
      </w:hyperlink>
      <w:r>
        <w:rPr>
          <w:rStyle w:val="s0"/>
        </w:rPr>
        <w:t xml:space="preserve"> с 01.01.2014 г.) </w:t>
      </w:r>
      <w:r>
        <w:rPr>
          <w:rStyle w:val="s3"/>
        </w:rPr>
        <w:t>(</w:t>
      </w:r>
      <w:hyperlink r:id="rId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2ADF">
      <w:pPr>
        <w:pStyle w:val="pc"/>
      </w:pPr>
      <w:r>
        <w:rPr>
          <w:rStyle w:val="s1"/>
        </w:rPr>
        <w:t> </w:t>
      </w:r>
    </w:p>
    <w:p w:rsidR="00000000" w:rsidRDefault="005C2ADF">
      <w:pPr>
        <w:pStyle w:val="pc"/>
      </w:pPr>
      <w:r>
        <w:rPr>
          <w:rStyle w:val="s1"/>
        </w:rPr>
        <w:t>Предисловие</w:t>
      </w:r>
    </w:p>
    <w:p w:rsidR="00000000" w:rsidRDefault="005C2ADF">
      <w:pPr>
        <w:pStyle w:val="pc"/>
      </w:pPr>
      <w:r>
        <w:rPr>
          <w:rStyle w:val="s1"/>
        </w:rPr>
        <w:t> </w:t>
      </w:r>
    </w:p>
    <w:p w:rsidR="00000000" w:rsidRDefault="005C2ADF">
      <w:pPr>
        <w:pStyle w:val="pj"/>
      </w:pPr>
      <w:r>
        <w:rPr>
          <w:rStyle w:val="s0"/>
        </w:rPr>
        <w:t xml:space="preserve">1 РАЗРАБОТАН Межгосударственным техническим комитетом </w:t>
      </w:r>
      <w:r>
        <w:rPr>
          <w:rStyle w:val="s0"/>
        </w:rPr>
        <w:t>по стандартизации МТК 241 «Пленки, трубы, фитинги, листы и другие изделия из пластмасс»</w:t>
      </w:r>
    </w:p>
    <w:p w:rsidR="00000000" w:rsidRDefault="005C2ADF">
      <w:pPr>
        <w:pStyle w:val="pj"/>
      </w:pPr>
      <w:r>
        <w:rPr>
          <w:rStyle w:val="s0"/>
        </w:rPr>
        <w:t>ВНЕСЕН Госстандартом России</w:t>
      </w:r>
    </w:p>
    <w:p w:rsidR="00000000" w:rsidRDefault="005C2ADF">
      <w:pPr>
        <w:pStyle w:val="pj"/>
      </w:pPr>
      <w:r>
        <w:rPr>
          <w:rStyle w:val="s0"/>
        </w:rPr>
        <w:t>2 ПРИНЯТ Межгосударственным Советом по стандартизации, метрологии и сертификации (протокол № 20 от 1 ноября 2001 г.)</w:t>
      </w:r>
    </w:p>
    <w:p w:rsidR="00000000" w:rsidRDefault="005C2ADF">
      <w:pPr>
        <w:pStyle w:val="pj"/>
      </w:pPr>
      <w:r>
        <w:rPr>
          <w:rStyle w:val="s0"/>
        </w:rPr>
        <w:t>За принятие проголосова</w:t>
      </w:r>
      <w:r>
        <w:rPr>
          <w:rStyle w:val="s0"/>
        </w:rPr>
        <w:t>ли:</w:t>
      </w:r>
    </w:p>
    <w:p w:rsidR="00000000" w:rsidRDefault="005C2ADF">
      <w:pPr>
        <w:pStyle w:val="pj"/>
      </w:pPr>
      <w:r>
        <w:t> </w:t>
      </w:r>
    </w:p>
    <w:tbl>
      <w:tblPr>
        <w:tblW w:w="4424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021"/>
        <w:gridCol w:w="4447"/>
      </w:tblGrid>
      <w:tr w:rsidR="00000000">
        <w:trPr>
          <w:tblHeader/>
          <w:jc w:val="center"/>
        </w:trPr>
        <w:tc>
          <w:tcPr>
            <w:tcW w:w="23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5C2ADF">
            <w:pPr>
              <w:pStyle w:val="pc"/>
            </w:pPr>
            <w:r>
              <w:rPr>
                <w:rStyle w:val="s0"/>
              </w:rPr>
              <w:t>Наименование государства</w:t>
            </w:r>
          </w:p>
        </w:tc>
        <w:tc>
          <w:tcPr>
            <w:tcW w:w="26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5C2ADF">
            <w:pPr>
              <w:pStyle w:val="pc"/>
            </w:pPr>
            <w:r>
              <w:rPr>
                <w:rStyle w:val="s0"/>
              </w:rPr>
              <w:t>Наименование национального</w:t>
            </w:r>
          </w:p>
          <w:p w:rsidR="00000000" w:rsidRDefault="005C2ADF">
            <w:pPr>
              <w:pStyle w:val="pc"/>
            </w:pPr>
            <w:r>
              <w:rPr>
                <w:rStyle w:val="s0"/>
              </w:rPr>
              <w:t>органа по стандартизации</w:t>
            </w:r>
          </w:p>
        </w:tc>
      </w:tr>
      <w:tr w:rsidR="00000000">
        <w:trPr>
          <w:tblHeader/>
          <w:jc w:val="center"/>
        </w:trPr>
        <w:tc>
          <w:tcPr>
            <w:tcW w:w="2350" w:type="pct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5C2ADF">
            <w:pPr>
              <w:pStyle w:val="p"/>
            </w:pPr>
            <w:r>
              <w:rPr>
                <w:rStyle w:val="s0"/>
              </w:rPr>
              <w:t xml:space="preserve">Азербайджанская Республика </w:t>
            </w:r>
          </w:p>
        </w:tc>
        <w:tc>
          <w:tcPr>
            <w:tcW w:w="2600" w:type="pct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5C2ADF">
            <w:pPr>
              <w:pStyle w:val="p"/>
            </w:pPr>
            <w:r>
              <w:rPr>
                <w:rStyle w:val="s0"/>
              </w:rPr>
              <w:t xml:space="preserve">Азгосстандарт </w:t>
            </w:r>
          </w:p>
        </w:tc>
      </w:tr>
      <w:tr w:rsidR="00000000">
        <w:trPr>
          <w:tblHeader/>
          <w:jc w:val="center"/>
        </w:trPr>
        <w:tc>
          <w:tcPr>
            <w:tcW w:w="2350" w:type="pct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5C2ADF">
            <w:pPr>
              <w:pStyle w:val="p"/>
            </w:pPr>
            <w:r>
              <w:rPr>
                <w:rStyle w:val="s0"/>
              </w:rPr>
              <w:t xml:space="preserve">Республика Армения </w:t>
            </w:r>
          </w:p>
        </w:tc>
        <w:tc>
          <w:tcPr>
            <w:tcW w:w="2600" w:type="pct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5C2ADF">
            <w:pPr>
              <w:pStyle w:val="p"/>
            </w:pPr>
            <w:r>
              <w:rPr>
                <w:rStyle w:val="s0"/>
              </w:rPr>
              <w:t xml:space="preserve">Армгосстандарт </w:t>
            </w:r>
          </w:p>
        </w:tc>
      </w:tr>
      <w:tr w:rsidR="00000000">
        <w:trPr>
          <w:tblHeader/>
          <w:jc w:val="center"/>
        </w:trPr>
        <w:tc>
          <w:tcPr>
            <w:tcW w:w="2350" w:type="pct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5C2ADF">
            <w:pPr>
              <w:pStyle w:val="p"/>
            </w:pPr>
            <w:r>
              <w:rPr>
                <w:rStyle w:val="s0"/>
              </w:rPr>
              <w:t xml:space="preserve">Республика Беларусь </w:t>
            </w:r>
          </w:p>
        </w:tc>
        <w:tc>
          <w:tcPr>
            <w:tcW w:w="2600" w:type="pct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5C2ADF">
            <w:pPr>
              <w:pStyle w:val="p"/>
            </w:pPr>
            <w:r>
              <w:rPr>
                <w:rStyle w:val="s0"/>
              </w:rPr>
              <w:t xml:space="preserve">Госстандарт Республики Беларусь </w:t>
            </w:r>
          </w:p>
        </w:tc>
      </w:tr>
      <w:tr w:rsidR="00000000">
        <w:trPr>
          <w:tblHeader/>
          <w:jc w:val="center"/>
        </w:trPr>
        <w:tc>
          <w:tcPr>
            <w:tcW w:w="2350" w:type="pct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5C2ADF">
            <w:pPr>
              <w:pStyle w:val="p"/>
            </w:pPr>
            <w:r>
              <w:rPr>
                <w:rStyle w:val="s0"/>
              </w:rPr>
              <w:t xml:space="preserve">Республика Казахстан </w:t>
            </w:r>
          </w:p>
        </w:tc>
        <w:tc>
          <w:tcPr>
            <w:tcW w:w="2600" w:type="pct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5C2ADF">
            <w:pPr>
              <w:pStyle w:val="p"/>
            </w:pPr>
            <w:r>
              <w:rPr>
                <w:rStyle w:val="s0"/>
              </w:rPr>
              <w:t xml:space="preserve">Госстандарт Республики Казахстан </w:t>
            </w:r>
          </w:p>
        </w:tc>
      </w:tr>
      <w:tr w:rsidR="00000000">
        <w:trPr>
          <w:tblHeader/>
          <w:jc w:val="center"/>
        </w:trPr>
        <w:tc>
          <w:tcPr>
            <w:tcW w:w="2350" w:type="pct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5C2ADF">
            <w:pPr>
              <w:pStyle w:val="p"/>
            </w:pPr>
            <w:r>
              <w:rPr>
                <w:rStyle w:val="s0"/>
              </w:rPr>
              <w:t xml:space="preserve">Кыргызская Республика </w:t>
            </w:r>
          </w:p>
        </w:tc>
        <w:tc>
          <w:tcPr>
            <w:tcW w:w="2600" w:type="pct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5C2ADF">
            <w:pPr>
              <w:pStyle w:val="p"/>
            </w:pPr>
            <w:r>
              <w:rPr>
                <w:rStyle w:val="s0"/>
              </w:rPr>
              <w:t xml:space="preserve">Кыргызстандарт </w:t>
            </w:r>
          </w:p>
        </w:tc>
      </w:tr>
      <w:tr w:rsidR="00000000">
        <w:trPr>
          <w:tblHeader/>
          <w:jc w:val="center"/>
        </w:trPr>
        <w:tc>
          <w:tcPr>
            <w:tcW w:w="2350" w:type="pct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5C2ADF">
            <w:pPr>
              <w:pStyle w:val="p"/>
            </w:pPr>
            <w:r>
              <w:rPr>
                <w:rStyle w:val="s0"/>
              </w:rPr>
              <w:t xml:space="preserve">Республика Молдова </w:t>
            </w:r>
          </w:p>
        </w:tc>
        <w:tc>
          <w:tcPr>
            <w:tcW w:w="2600" w:type="pct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5C2ADF">
            <w:pPr>
              <w:pStyle w:val="p"/>
            </w:pPr>
            <w:r>
              <w:rPr>
                <w:rStyle w:val="s0"/>
              </w:rPr>
              <w:t xml:space="preserve">Молдовастандарт </w:t>
            </w:r>
          </w:p>
        </w:tc>
      </w:tr>
      <w:tr w:rsidR="00000000">
        <w:trPr>
          <w:tblHeader/>
          <w:jc w:val="center"/>
        </w:trPr>
        <w:tc>
          <w:tcPr>
            <w:tcW w:w="2350" w:type="pct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5C2ADF">
            <w:pPr>
              <w:pStyle w:val="p"/>
            </w:pPr>
            <w:r>
              <w:rPr>
                <w:rStyle w:val="s0"/>
              </w:rPr>
              <w:t xml:space="preserve">Российская Федерация </w:t>
            </w:r>
          </w:p>
        </w:tc>
        <w:tc>
          <w:tcPr>
            <w:tcW w:w="2600" w:type="pct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5C2ADF">
            <w:pPr>
              <w:pStyle w:val="p"/>
            </w:pPr>
            <w:r>
              <w:rPr>
                <w:rStyle w:val="s0"/>
              </w:rPr>
              <w:t xml:space="preserve">Госстандарт России </w:t>
            </w:r>
          </w:p>
        </w:tc>
      </w:tr>
      <w:tr w:rsidR="00000000">
        <w:trPr>
          <w:tblHeader/>
          <w:jc w:val="center"/>
        </w:trPr>
        <w:tc>
          <w:tcPr>
            <w:tcW w:w="2350" w:type="pct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5C2ADF">
            <w:pPr>
              <w:pStyle w:val="p"/>
            </w:pPr>
            <w:r>
              <w:rPr>
                <w:rStyle w:val="s0"/>
              </w:rPr>
              <w:t xml:space="preserve">Республика Таджикистан </w:t>
            </w:r>
          </w:p>
        </w:tc>
        <w:tc>
          <w:tcPr>
            <w:tcW w:w="2600" w:type="pct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5C2ADF">
            <w:pPr>
              <w:pStyle w:val="p"/>
            </w:pPr>
            <w:r>
              <w:rPr>
                <w:rStyle w:val="s0"/>
              </w:rPr>
              <w:t xml:space="preserve">Таджикстандарт </w:t>
            </w:r>
          </w:p>
        </w:tc>
      </w:tr>
      <w:tr w:rsidR="00000000">
        <w:trPr>
          <w:tblHeader/>
          <w:jc w:val="center"/>
        </w:trPr>
        <w:tc>
          <w:tcPr>
            <w:tcW w:w="2350" w:type="pct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5C2ADF">
            <w:pPr>
              <w:pStyle w:val="p"/>
            </w:pPr>
            <w:r>
              <w:rPr>
                <w:rStyle w:val="s0"/>
              </w:rPr>
              <w:t xml:space="preserve">Туркменистан </w:t>
            </w:r>
          </w:p>
        </w:tc>
        <w:tc>
          <w:tcPr>
            <w:tcW w:w="2600" w:type="pct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5C2ADF">
            <w:pPr>
              <w:pStyle w:val="p"/>
            </w:pPr>
            <w:r>
              <w:rPr>
                <w:rStyle w:val="s0"/>
              </w:rPr>
              <w:t xml:space="preserve">Главгосслужба «Туркменстандартлары» </w:t>
            </w:r>
          </w:p>
        </w:tc>
      </w:tr>
      <w:tr w:rsidR="00000000">
        <w:trPr>
          <w:tblHeader/>
          <w:jc w:val="center"/>
        </w:trPr>
        <w:tc>
          <w:tcPr>
            <w:tcW w:w="2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5C2ADF">
            <w:pPr>
              <w:pStyle w:val="p"/>
            </w:pPr>
            <w:r>
              <w:rPr>
                <w:rStyle w:val="s0"/>
              </w:rPr>
              <w:t xml:space="preserve">Республика Узбекистан </w:t>
            </w:r>
          </w:p>
        </w:tc>
        <w:tc>
          <w:tcPr>
            <w:tcW w:w="2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5C2ADF">
            <w:pPr>
              <w:pStyle w:val="p"/>
            </w:pPr>
            <w:r>
              <w:rPr>
                <w:rStyle w:val="s0"/>
              </w:rPr>
              <w:t xml:space="preserve">Узгосстандарт </w:t>
            </w:r>
          </w:p>
        </w:tc>
      </w:tr>
    </w:tbl>
    <w:p w:rsidR="00000000" w:rsidRDefault="005C2ADF">
      <w:pPr>
        <w:pStyle w:val="pj"/>
      </w:pPr>
      <w:r>
        <w:rPr>
          <w:rStyle w:val="s0"/>
        </w:rPr>
        <w:t> </w:t>
      </w:r>
    </w:p>
    <w:p w:rsidR="00000000" w:rsidRDefault="005C2ADF">
      <w:pPr>
        <w:pStyle w:val="pj"/>
      </w:pPr>
      <w:r>
        <w:t>3 Настоящий стандарт соответствует международным стандартам ISO 4427-1:2007 Plastics piping sy</w:t>
      </w:r>
      <w:r>
        <w:t xml:space="preserve">stems - Polyethylene (РЕ) pipes and fittings for water supply - Part 1: General (Трубопроводы из пластмасс. Трубы и фитинги из полиэтилена для водоснабжения. Часть 1. Общие положения) и ISO 4427-2:2007 Plastics piping systems - Polyethylene (РЕ) pipes and </w:t>
      </w:r>
      <w:r>
        <w:t>fittings for water supply - Part 2: Pipes (Трубопроводы из пластмасс. Трубы и фитинги из полиэтилена для водоснабжения. Часть 2: Трубы).</w:t>
      </w:r>
    </w:p>
    <w:p w:rsidR="00000000" w:rsidRDefault="005C2ADF">
      <w:pPr>
        <w:pStyle w:val="pj"/>
      </w:pPr>
      <w:r>
        <w:t>Степень соответствия - неэквивалентная (NEQ)</w:t>
      </w:r>
    </w:p>
    <w:p w:rsidR="00000000" w:rsidRDefault="005C2ADF">
      <w:pPr>
        <w:pStyle w:val="pj"/>
      </w:pPr>
      <w:r>
        <w:rPr>
          <w:rStyle w:val="s0"/>
          <w:b/>
          <w:bCs/>
        </w:rPr>
        <w:t xml:space="preserve">(Измененная редакция, </w:t>
      </w:r>
      <w:hyperlink r:id="rId13" w:history="1">
        <w:r>
          <w:rPr>
            <w:rStyle w:val="a4"/>
          </w:rPr>
          <w:t>Изм. № 2</w:t>
        </w:r>
      </w:hyperlink>
      <w:r>
        <w:rPr>
          <w:rStyle w:val="s0"/>
          <w:b/>
          <w:bCs/>
        </w:rPr>
        <w:t>).</w:t>
      </w:r>
    </w:p>
    <w:p w:rsidR="00000000" w:rsidRDefault="005C2ADF">
      <w:pPr>
        <w:pStyle w:val="pj"/>
      </w:pPr>
      <w:r>
        <w:rPr>
          <w:rStyle w:val="s0"/>
        </w:rPr>
        <w:t xml:space="preserve">4 Утвержден и введен в действие </w:t>
      </w:r>
      <w:r>
        <w:t xml:space="preserve">приказом КТРМ № 327 от 20.09.2002 г. </w:t>
      </w:r>
    </w:p>
    <w:p w:rsidR="00000000" w:rsidRDefault="005C2ADF">
      <w:pPr>
        <w:pStyle w:val="pj"/>
      </w:pPr>
      <w:r>
        <w:rPr>
          <w:rStyle w:val="s0"/>
        </w:rPr>
        <w:t> </w:t>
      </w:r>
    </w:p>
    <w:p w:rsidR="00000000" w:rsidRDefault="005C2ADF">
      <w:pPr>
        <w:pStyle w:val="pj"/>
      </w:pPr>
      <w:r>
        <w:rPr>
          <w:rStyle w:val="s0"/>
        </w:rPr>
        <w:t>Дата введения - 2003-01-01</w:t>
      </w:r>
    </w:p>
    <w:p w:rsidR="00000000" w:rsidRDefault="005C2ADF">
      <w:pPr>
        <w:pStyle w:val="pj"/>
      </w:pPr>
      <w:r>
        <w:rPr>
          <w:rStyle w:val="s0"/>
        </w:rPr>
        <w:t> </w:t>
      </w:r>
    </w:p>
    <w:p w:rsidR="00000000" w:rsidRDefault="005C2ADF">
      <w:pPr>
        <w:pStyle w:val="pj"/>
      </w:pPr>
      <w:r>
        <w:rPr>
          <w:rStyle w:val="s0"/>
        </w:rPr>
        <w:t>Постановлением Государственного комитета Российской Федерации по стандартизации и метрологии от 23 марта 2002 г. № 112-ст межгосуда</w:t>
      </w:r>
      <w:r>
        <w:rPr>
          <w:rStyle w:val="s0"/>
        </w:rPr>
        <w:t>рственный стандарт ГОСТ 18599-2001 введен в действие непосредственно в качестве государственного стандарта Российской Федерации с 1 января 2003 г.</w:t>
      </w:r>
    </w:p>
    <w:p w:rsidR="00000000" w:rsidRDefault="005C2ADF">
      <w:pPr>
        <w:pStyle w:val="pj"/>
      </w:pPr>
      <w:r>
        <w:rPr>
          <w:rStyle w:val="s0"/>
        </w:rPr>
        <w:t xml:space="preserve">5 ВЗАМЕН </w:t>
      </w:r>
      <w:hyperlink r:id="rId14" w:history="1">
        <w:r>
          <w:rPr>
            <w:rStyle w:val="a4"/>
          </w:rPr>
          <w:t>ГОСТ 18599-83</w:t>
        </w:r>
      </w:hyperlink>
    </w:p>
    <w:p w:rsidR="00000000" w:rsidRDefault="005C2ADF">
      <w:pPr>
        <w:pStyle w:val="pj"/>
      </w:pPr>
      <w:r>
        <w:t> </w:t>
      </w:r>
    </w:p>
    <w:p w:rsidR="00000000" w:rsidRDefault="005C2ADF">
      <w:pPr>
        <w:pStyle w:val="pj"/>
      </w:pPr>
      <w:r>
        <w:t> </w:t>
      </w:r>
    </w:p>
    <w:p w:rsidR="00000000" w:rsidRDefault="005C2ADF">
      <w:pPr>
        <w:pStyle w:val="p"/>
      </w:pPr>
      <w:r>
        <w:t> </w:t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C2ADF" w:rsidRDefault="005C2ADF" w:rsidP="005C2ADF">
      <w:r>
        <w:separator/>
      </w:r>
    </w:p>
  </w:endnote>
  <w:endnote w:type="continuationSeparator" w:id="0">
    <w:p w:rsidR="005C2ADF" w:rsidRDefault="005C2ADF" w:rsidP="005C2AD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2ADF" w:rsidRDefault="005C2AD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2ADF" w:rsidRDefault="005C2AD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2ADF" w:rsidRDefault="005C2AD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C2ADF" w:rsidRDefault="005C2ADF" w:rsidP="005C2ADF">
      <w:r>
        <w:separator/>
      </w:r>
    </w:p>
  </w:footnote>
  <w:footnote w:type="continuationSeparator" w:id="0">
    <w:p w:rsidR="005C2ADF" w:rsidRDefault="005C2ADF" w:rsidP="005C2AD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2ADF" w:rsidRDefault="005C2AD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2ADF" w:rsidRDefault="005C2ADF" w:rsidP="005C2AD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C2ADF" w:rsidRPr="005C2ADF" w:rsidRDefault="005C2ADF" w:rsidP="005C2AD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ГОСТ 18599-2001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2ADF" w:rsidRDefault="005C2AD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C2ADF"/>
    <w:rsid w:val="005C2A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5C2AD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C2AD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C2AD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C2ADF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5C2AD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C2AD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C2AD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C2ADF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58033" TargetMode="External"/><Relationship Id="rId13" Type="http://schemas.openxmlformats.org/officeDocument/2006/relationships/hyperlink" Target="http://online.zakon.kz/Document/?doc_id=31510042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://online.zakon.kz/Document/?doc_id=31510042" TargetMode="External"/><Relationship Id="rId12" Type="http://schemas.openxmlformats.org/officeDocument/2006/relationships/hyperlink" Target="http://online.zakon.kz/Document/?doc_id=31510240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8310502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31510042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58133" TargetMode="External"/><Relationship Id="rId14" Type="http://schemas.openxmlformats.org/officeDocument/2006/relationships/hyperlink" Target="http://online.zakon.kz/Document/?doc_id=30050139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435</Words>
  <Characters>2480</Characters>
  <Application>Microsoft Office Word</Application>
  <DocSecurity>0</DocSecurity>
  <Lines>20</Lines>
  <Paragraphs>5</Paragraphs>
  <ScaleCrop>false</ScaleCrop>
  <Company/>
  <LinksUpToDate>false</LinksUpToDate>
  <CharactersWithSpaces>2910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2025-02-07T15:17:00Z</dcterms:created>
  <dcterms:modified xsi:type="dcterms:W3CDTF">2025-02-07T15:17:00Z</dcterms:modified>
</cp:coreProperties>
</file>