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822">
      <w:pPr>
        <w:ind w:firstLine="400"/>
        <w:jc w:val="both"/>
      </w:pPr>
      <w:bookmarkStart w:id="0" w:name="_GoBack"/>
      <w:bookmarkEnd w:id="0"/>
      <w:r>
        <w:t xml:space="preserve">ГОСТ 166-89 </w:t>
      </w:r>
      <w:r>
        <w:rPr>
          <w:rStyle w:val="s0"/>
        </w:rPr>
        <w:t>(СТ СЭВ 704-77-СТ СЭВ 707-77; СТ СЭВ 1309-78, ИСО 3599-76)</w:t>
      </w:r>
      <w:r>
        <w:t xml:space="preserve"> «Штангенциркули. Технические условия»</w:t>
      </w:r>
    </w:p>
    <w:p w:rsidR="00000000" w:rsidRDefault="00260822">
      <w:pPr>
        <w:ind w:firstLine="400"/>
        <w:jc w:val="both"/>
      </w:pPr>
      <w:r>
        <w:rPr>
          <w:rStyle w:val="s0"/>
        </w:rPr>
        <w:t> </w:t>
      </w:r>
    </w:p>
    <w:p w:rsidR="00000000" w:rsidRDefault="00260822">
      <w:pPr>
        <w:jc w:val="center"/>
      </w:pPr>
      <w:r>
        <w:rPr>
          <w:rStyle w:val="s1"/>
        </w:rPr>
        <w:t>ИНФОРМАЦИОННЫЕ ДАННЫЕ</w:t>
      </w:r>
    </w:p>
    <w:p w:rsidR="00000000" w:rsidRDefault="00260822">
      <w:pPr>
        <w:ind w:firstLine="400"/>
        <w:jc w:val="both"/>
      </w:pPr>
      <w:bookmarkStart w:id="1" w:name="PN0000095"/>
      <w:bookmarkStart w:id="2" w:name="PO0000095"/>
      <w:bookmarkEnd w:id="1"/>
      <w:bookmarkEnd w:id="2"/>
      <w:r>
        <w:rPr>
          <w:rStyle w:val="s0"/>
          <w:b/>
          <w:bCs/>
        </w:rPr>
        <w:t>1.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РАЗРАБОТАН И ВНЕСЕН</w:t>
      </w:r>
      <w:r>
        <w:rPr>
          <w:rStyle w:val="s0"/>
        </w:rPr>
        <w:t xml:space="preserve"> Министерством станкостроительной и инструментальной промышленности</w:t>
      </w:r>
    </w:p>
    <w:p w:rsidR="00000000" w:rsidRDefault="00260822">
      <w:pPr>
        <w:ind w:firstLine="400"/>
        <w:jc w:val="both"/>
      </w:pPr>
      <w:r>
        <w:rPr>
          <w:rStyle w:val="s0"/>
          <w:b/>
          <w:bCs/>
        </w:rPr>
        <w:t>ИСПОЛНИТЕЛИ</w:t>
      </w:r>
    </w:p>
    <w:p w:rsidR="00000000" w:rsidRDefault="00260822">
      <w:pPr>
        <w:ind w:firstLine="400"/>
        <w:jc w:val="both"/>
      </w:pPr>
      <w:r>
        <w:rPr>
          <w:rStyle w:val="s0"/>
        </w:rPr>
        <w:t>М.Б. Шабалина, канд. техн. наук (руководитель темы); Н.В. Семенова</w:t>
      </w:r>
    </w:p>
    <w:p w:rsidR="00000000" w:rsidRDefault="00260822">
      <w:pPr>
        <w:ind w:firstLine="400"/>
        <w:jc w:val="both"/>
      </w:pPr>
      <w:bookmarkStart w:id="3" w:name="PN0000096"/>
      <w:bookmarkStart w:id="4" w:name="PO0000096"/>
      <w:bookmarkEnd w:id="3"/>
      <w:bookmarkEnd w:id="4"/>
      <w:r>
        <w:rPr>
          <w:rStyle w:val="s0"/>
          <w:b/>
          <w:bCs/>
        </w:rPr>
        <w:t>2. УТВЕРЖДЕН И ВВЕДЕН В ДЕЙСТВИЕ</w:t>
      </w:r>
      <w:r>
        <w:rPr>
          <w:rStyle w:val="s0"/>
        </w:rPr>
        <w:t xml:space="preserve"> Постановлением Государственного комитета СССР по управлению качеством продукции и стандартам от 30.10.99 № 3253</w:t>
      </w:r>
    </w:p>
    <w:p w:rsidR="00000000" w:rsidRDefault="00260822">
      <w:pPr>
        <w:ind w:firstLine="400"/>
        <w:jc w:val="both"/>
      </w:pPr>
      <w:bookmarkStart w:id="5" w:name="PN0000097"/>
      <w:bookmarkStart w:id="6" w:name="PO0000097"/>
      <w:bookmarkEnd w:id="5"/>
      <w:bookmarkEnd w:id="6"/>
      <w:r>
        <w:rPr>
          <w:rStyle w:val="s0"/>
          <w:b/>
          <w:bCs/>
        </w:rPr>
        <w:t>3. ВЗАМЕН</w:t>
      </w:r>
      <w:r>
        <w:rPr>
          <w:rStyle w:val="s0"/>
        </w:rPr>
        <w:t xml:space="preserve"> ГОСТ 166-80</w:t>
      </w:r>
    </w:p>
    <w:p w:rsidR="00000000" w:rsidRDefault="00260822">
      <w:pPr>
        <w:ind w:firstLine="400"/>
        <w:jc w:val="both"/>
      </w:pPr>
      <w:bookmarkStart w:id="7" w:name="PN0000098"/>
      <w:bookmarkStart w:id="8" w:name="PO0000098"/>
      <w:bookmarkEnd w:id="7"/>
      <w:bookmarkEnd w:id="8"/>
      <w:r>
        <w:rPr>
          <w:rStyle w:val="s0"/>
        </w:rPr>
        <w:t>4. Срок проверки - III</w:t>
      </w:r>
      <w:r>
        <w:rPr>
          <w:rStyle w:val="s0"/>
        </w:rPr>
        <w:t xml:space="preserve"> кв. 1994 г., периодичность - 5 лет</w:t>
      </w:r>
    </w:p>
    <w:p w:rsidR="00000000" w:rsidRDefault="00260822">
      <w:pPr>
        <w:ind w:firstLine="400"/>
        <w:jc w:val="both"/>
      </w:pPr>
      <w:bookmarkStart w:id="9" w:name="PN0000099"/>
      <w:bookmarkStart w:id="10" w:name="PO0000099"/>
      <w:bookmarkEnd w:id="9"/>
      <w:bookmarkEnd w:id="10"/>
      <w:r>
        <w:rPr>
          <w:rStyle w:val="s0"/>
        </w:rPr>
        <w:t>5. Стандарт полностью соответствует СТ СЭВ 704-77 - СТ СЭВ 707-77, СТ СЭВ 1309-78, ИСО 3599-76</w:t>
      </w:r>
    </w:p>
    <w:p w:rsidR="00000000" w:rsidRDefault="00260822">
      <w:pPr>
        <w:ind w:firstLine="400"/>
        <w:jc w:val="both"/>
      </w:pPr>
      <w:bookmarkStart w:id="11" w:name="PN0000100"/>
      <w:bookmarkStart w:id="12" w:name="PO0000100"/>
      <w:bookmarkEnd w:id="11"/>
      <w:bookmarkEnd w:id="12"/>
      <w:r>
        <w:rPr>
          <w:rStyle w:val="s0"/>
          <w:b/>
          <w:bCs/>
        </w:rPr>
        <w:t>6. ССЫЛОЧНЫЕ НОРМАТИВНО-ТЕХНИЧЕСКИЕ ДОКУМЕНТЫ</w:t>
      </w:r>
    </w:p>
    <w:p w:rsidR="00000000" w:rsidRDefault="0026082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9"/>
        <w:gridCol w:w="4692"/>
      </w:tblGrid>
      <w:tr w:rsidR="00000000">
        <w:trPr>
          <w:tblHeader/>
        </w:trPr>
        <w:tc>
          <w:tcPr>
            <w:tcW w:w="25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bookmarkStart w:id="13" w:name="TO0000007"/>
            <w:r>
              <w:t>Обозначение НТД, на который дана ссылка</w:t>
            </w:r>
            <w:bookmarkEnd w:id="13"/>
          </w:p>
        </w:tc>
        <w:tc>
          <w:tcPr>
            <w:tcW w:w="2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r>
              <w:t>Номер пункта</w:t>
            </w:r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7" w:tooltip="ЕСКД. Эксплуатационные документы" w:history="1">
              <w:r>
                <w:rPr>
                  <w:rStyle w:val="a3"/>
                </w:rPr>
                <w:t>ГОСТ 2.601-68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8" w:anchor="PO0000063#PO0000063" w:tooltip="Пункт 2.25.1" w:history="1">
              <w:r>
                <w:rPr>
                  <w:rStyle w:val="a3"/>
                </w:rPr>
                <w:t>2.25.1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9" w:tooltip="ГСИ. Организация и порядок проведения государственных испытаний средств измерений" w:history="1">
              <w:r>
                <w:rPr>
                  <w:rStyle w:val="a3"/>
                </w:rPr>
                <w:t>ГОСТ 8.001-80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10" w:anchor="PO0000075#PO0000075" w:tooltip="Пункт 3.2" w:history="1">
              <w:r>
                <w:rPr>
                  <w:rStyle w:val="a3"/>
                </w:rPr>
                <w:t>3.2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11" w:tooltip="ГСИ. Штангенциркули. Методика поверки" w:history="1">
              <w:r>
                <w:rPr>
                  <w:rStyle w:val="a3"/>
                </w:rPr>
                <w:t>ГОСТ 8.113-85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12" w:anchor="PO0000080#PO0000080" w:tooltip="Пункт 4.1" w:history="1">
              <w:r>
                <w:rPr>
                  <w:rStyle w:val="a3"/>
                </w:rPr>
                <w:t>4.1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13" w:tooltip="ГСИ. Государственные испытания средств измерений. Основные положения" w:history="1">
              <w:r>
                <w:rPr>
                  <w:rStyle w:val="a3"/>
                </w:rPr>
                <w:t>ГОСТ 8.383-80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14" w:anchor="PO0000075#PO0000075" w:tooltip="Пункт 3.2" w:history="1">
              <w:r>
                <w:rPr>
                  <w:rStyle w:val="a3"/>
                </w:rPr>
                <w:t>3.2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15" w:tooltip="ЕСЗКС. Временная противокоррозионная защита изделий. Общие требования" w:history="1">
              <w:r>
                <w:rPr>
                  <w:rStyle w:val="a3"/>
                </w:rPr>
                <w:t>ГОСТ 9.014-78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16" w:anchor="PO0000070#PO0000070" w:tooltip="Пункт 2.27.1" w:history="1">
              <w:r>
                <w:rPr>
                  <w:rStyle w:val="a3"/>
                </w:rPr>
                <w:t>2.27.1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17" w:tooltip="ЕСЗКС. Покрытия лакокрасочные. Группы, технические требования и обозначения" w:history="1">
              <w:r>
                <w:rPr>
                  <w:rStyle w:val="a3"/>
                </w:rPr>
                <w:t>ГОСТ 9.032-74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18" w:anchor="PO0000059#PO0000059" w:tooltip="Пункт 2.17" w:history="1">
              <w:r>
                <w:rPr>
                  <w:rStyle w:val="a3"/>
                </w:rPr>
                <w:t>2.17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19" w:tooltip="ЕСЗКС. Покрытия металлические и неметаллические неорганические. Общие требования к выбору" w:history="1">
              <w:r>
                <w:rPr>
                  <w:rStyle w:val="a3"/>
                </w:rPr>
                <w:t>ГОСТ 9.303-84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20" w:anchor="PO0000059#PO0000059" w:tooltip="Пункт 2.17" w:history="1">
              <w:r>
                <w:rPr>
                  <w:rStyle w:val="a3"/>
                </w:rPr>
                <w:t>2.17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21" w:tooltip="Надежность в технике. Методы контроля показателей надежности и планы контрольных испытаний на надежность" w:history="1">
              <w:r>
                <w:rPr>
                  <w:rStyle w:val="a3"/>
                </w:rPr>
                <w:t>ГОСТ 27.410-87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22" w:anchor="PO0000078#PO0000078" w:tooltip="Пункт 3.5" w:history="1">
              <w:r>
                <w:rPr>
                  <w:rStyle w:val="a3"/>
                </w:rPr>
                <w:t>3.5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23" w:tooltip="Сплавы твердые спеченные. Марки" w:history="1">
              <w:r>
                <w:rPr>
                  <w:rStyle w:val="a3"/>
                </w:rPr>
                <w:t>ГОСТ 3882-74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24" w:anchor="PO0000013#PO0000013" w:tooltip="Пункт 1.3" w:history="1">
              <w:r>
                <w:rPr>
                  <w:rStyle w:val="a3"/>
                </w:rPr>
                <w:t>1.3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hyperlink r:id="rId25" w:tooltip="Средства измерений и контроля линейных и угловых размеров. Маркировка, упаковка, транспортирование и хранение" w:history="1">
              <w:r>
                <w:rPr>
                  <w:rStyle w:val="a3"/>
                </w:rPr>
                <w:t>ГОСТ 13762-86</w:t>
              </w:r>
            </w:hyperlink>
          </w:p>
        </w:tc>
        <w:tc>
          <w:tcPr>
            <w:tcW w:w="2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26" w:anchor="PO0000068#PO0000068" w:tooltip="Пункт 2.26.3" w:history="1">
              <w:r>
                <w:rPr>
                  <w:rStyle w:val="a3"/>
                </w:rPr>
                <w:t>2.26.3</w:t>
              </w:r>
            </w:hyperlink>
            <w:r>
              <w:t xml:space="preserve">; </w:t>
            </w:r>
            <w:hyperlink r:id="rId27" w:anchor="PO0000071#PO0000071" w:tooltip="Пункт 2.27.2" w:history="1">
              <w:r>
                <w:rPr>
                  <w:rStyle w:val="a3"/>
                </w:rPr>
                <w:t>2.27.2</w:t>
              </w:r>
            </w:hyperlink>
            <w:r>
              <w:t xml:space="preserve">; </w:t>
            </w:r>
            <w:hyperlink r:id="rId28" w:anchor="_5._ТРАНСПОРТИРОВАНИЕ_И#_5._ТРАНСПОРТИРОВАНИЕ_И" w:tooltip="Пункт 5" w:history="1">
              <w:r>
                <w:rPr>
                  <w:rStyle w:val="a3"/>
                </w:rPr>
                <w:t>5</w:t>
              </w:r>
            </w:hyperlink>
          </w:p>
        </w:tc>
      </w:tr>
      <w:tr w:rsidR="00000000">
        <w:trPr>
          <w:tblHeader/>
        </w:trPr>
        <w:tc>
          <w:tcPr>
            <w:tcW w:w="25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ind w:firstLine="851"/>
              <w:jc w:val="both"/>
            </w:pPr>
            <w:r>
              <w:t>МИ 1384-86</w:t>
            </w:r>
          </w:p>
        </w:tc>
        <w:tc>
          <w:tcPr>
            <w:tcW w:w="2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000000" w:rsidRDefault="00260822">
            <w:pPr>
              <w:overflowPunct w:val="0"/>
              <w:autoSpaceDE w:val="0"/>
              <w:autoSpaceDN w:val="0"/>
              <w:jc w:val="center"/>
            </w:pPr>
            <w:hyperlink r:id="rId29" w:anchor="PO0000080#PO0000080" w:tooltip="Пункт 4.1" w:history="1">
              <w:r>
                <w:rPr>
                  <w:rStyle w:val="a3"/>
                </w:rPr>
                <w:t>4.1</w:t>
              </w:r>
            </w:hyperlink>
          </w:p>
        </w:tc>
      </w:tr>
    </w:tbl>
    <w:p w:rsidR="00000000" w:rsidRDefault="00260822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822" w:rsidRDefault="00260822" w:rsidP="00260822">
      <w:r>
        <w:separator/>
      </w:r>
    </w:p>
  </w:endnote>
  <w:endnote w:type="continuationSeparator" w:id="0">
    <w:p w:rsidR="00260822" w:rsidRDefault="00260822" w:rsidP="00260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22" w:rsidRDefault="002608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22" w:rsidRDefault="002608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22" w:rsidRDefault="002608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822" w:rsidRDefault="00260822" w:rsidP="00260822">
      <w:r>
        <w:separator/>
      </w:r>
    </w:p>
  </w:footnote>
  <w:footnote w:type="continuationSeparator" w:id="0">
    <w:p w:rsidR="00260822" w:rsidRDefault="00260822" w:rsidP="002608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22" w:rsidRDefault="002608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22" w:rsidRDefault="00260822" w:rsidP="002608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0822" w:rsidRPr="00260822" w:rsidRDefault="00260822" w:rsidP="002608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166-89 «ШТАНГЕНЦИРКУЛИ.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22" w:rsidRDefault="002608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0822"/>
    <w:rsid w:val="00260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08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8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8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8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08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8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8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8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ntsConverter\ConvertData\030079352.htm" TargetMode="External"/><Relationship Id="rId13" Type="http://schemas.openxmlformats.org/officeDocument/2006/relationships/hyperlink" Target="file:///D:\Temp\33616.htm" TargetMode="External"/><Relationship Id="rId18" Type="http://schemas.openxmlformats.org/officeDocument/2006/relationships/hyperlink" Target="file:///C:\DocumentsConverter\ConvertData\030079352.htm" TargetMode="External"/><Relationship Id="rId26" Type="http://schemas.openxmlformats.org/officeDocument/2006/relationships/hyperlink" Target="file:///C:\DocumentsConverter\ConvertData\030079352.htm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D:\Temp\28036.htm" TargetMode="External"/><Relationship Id="rId34" Type="http://schemas.openxmlformats.org/officeDocument/2006/relationships/header" Target="header3.xml"/><Relationship Id="rId7" Type="http://schemas.openxmlformats.org/officeDocument/2006/relationships/hyperlink" Target="file:///D:\Temp\22225.htm" TargetMode="External"/><Relationship Id="rId12" Type="http://schemas.openxmlformats.org/officeDocument/2006/relationships/hyperlink" Target="file:///C:\DocumentsConverter\ConvertData\030079352.htm" TargetMode="External"/><Relationship Id="rId17" Type="http://schemas.openxmlformats.org/officeDocument/2006/relationships/hyperlink" Target="file:///D:\Temp\5205.htm" TargetMode="External"/><Relationship Id="rId25" Type="http://schemas.openxmlformats.org/officeDocument/2006/relationships/hyperlink" Target="file:///D:\Temp\18007.htm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file:///C:\DocumentsConverter\ConvertData\030079352.htm" TargetMode="External"/><Relationship Id="rId20" Type="http://schemas.openxmlformats.org/officeDocument/2006/relationships/hyperlink" Target="file:///C:\DocumentsConverter\ConvertData\030079352.htm" TargetMode="External"/><Relationship Id="rId29" Type="http://schemas.openxmlformats.org/officeDocument/2006/relationships/hyperlink" Target="file:///C:\DocumentsConverter\ConvertData\030079352.htm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file:///D:\Temp\33434.htm" TargetMode="External"/><Relationship Id="rId24" Type="http://schemas.openxmlformats.org/officeDocument/2006/relationships/hyperlink" Target="file:///C:\DocumentsConverter\ConvertData\030079352.htm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file:///D:\Temp\6794.htm" TargetMode="External"/><Relationship Id="rId23" Type="http://schemas.openxmlformats.org/officeDocument/2006/relationships/hyperlink" Target="file:///D:\Temp\31217.htm" TargetMode="External"/><Relationship Id="rId28" Type="http://schemas.openxmlformats.org/officeDocument/2006/relationships/hyperlink" Target="file:///C:\DocumentsConverter\ConvertData\030079352.htm" TargetMode="External"/><Relationship Id="rId36" Type="http://schemas.openxmlformats.org/officeDocument/2006/relationships/fontTable" Target="fontTable.xml"/><Relationship Id="rId10" Type="http://schemas.openxmlformats.org/officeDocument/2006/relationships/hyperlink" Target="file:///C:\DocumentsConverter\ConvertData\030079352.htm" TargetMode="External"/><Relationship Id="rId19" Type="http://schemas.openxmlformats.org/officeDocument/2006/relationships/hyperlink" Target="file:///D:\Temp\5211.htm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file:///D:\Temp\33356.htm" TargetMode="External"/><Relationship Id="rId14" Type="http://schemas.openxmlformats.org/officeDocument/2006/relationships/hyperlink" Target="file:///C:\DocumentsConverter\ConvertData\030079352.htm" TargetMode="External"/><Relationship Id="rId22" Type="http://schemas.openxmlformats.org/officeDocument/2006/relationships/hyperlink" Target="file:///C:\DocumentsConverter\ConvertData\030079352.htm" TargetMode="External"/><Relationship Id="rId27" Type="http://schemas.openxmlformats.org/officeDocument/2006/relationships/hyperlink" Target="file:///C:\DocumentsConverter\ConvertData\030079352.htm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2961</Characters>
  <Application>Microsoft Office Word</Application>
  <DocSecurity>0</DocSecurity>
  <Lines>24</Lines>
  <Paragraphs>6</Paragraphs>
  <ScaleCrop>false</ScaleCrop>
  <Company>SPecialiST RePack</Company>
  <LinksUpToDate>false</LinksUpToDate>
  <CharactersWithSpaces>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166-89 «ШТАНГЕНЦИРКУЛИ. ТЕХНИЧЕСКИЕ УСЛОВИЯ»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2024-07-11T19:25:00Z</dcterms:created>
  <dcterms:modified xsi:type="dcterms:W3CDTF">2024-07-11T19:25:00Z</dcterms:modified>
</cp:coreProperties>
</file>