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51EE1">
      <w:pPr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2003 жылғы 19 наурыздағы № 269 қаулысына толықтырулар мен өзгерістер енгізу туралы Қазақстан Республикасы Үкіметінің 2007 жылғы 12 шілдедегі № 595 Қаулысы</w:t>
      </w:r>
    </w:p>
    <w:p w:rsidR="00000000" w:rsidRDefault="00A51EE1">
      <w:pPr>
        <w:jc w:val="center"/>
      </w:pPr>
      <w:r>
        <w:rPr>
          <w:rStyle w:val="s1"/>
        </w:rPr>
        <w:t> </w:t>
      </w:r>
    </w:p>
    <w:p w:rsidR="00000000" w:rsidRDefault="00A51EE1">
      <w:pPr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2015 жылғы 8 қыркүйектегі № 754 </w:t>
      </w:r>
      <w:hyperlink r:id="rId7" w:anchor="sub_id=1" w:history="1">
        <w:r>
          <w:rPr>
            <w:rStyle w:val="a3"/>
            <w:i/>
            <w:iCs/>
            <w:bdr w:val="none" w:sz="0" w:space="0" w:color="auto" w:frame="1"/>
          </w:rPr>
          <w:t>Қаулысымен</w:t>
        </w:r>
      </w:hyperlink>
      <w:r>
        <w:rPr>
          <w:rStyle w:val="s3"/>
        </w:rPr>
        <w:t xml:space="preserve"> күші жойылды </w:t>
      </w:r>
    </w:p>
    <w:p w:rsidR="00000000" w:rsidRDefault="00A51EE1">
      <w:pPr>
        <w:ind w:firstLine="400"/>
        <w:jc w:val="both"/>
      </w:pPr>
      <w:r>
        <w:t> </w:t>
      </w:r>
    </w:p>
    <w:p w:rsidR="00000000" w:rsidRDefault="00A51EE1">
      <w:pPr>
        <w:ind w:firstLine="400"/>
        <w:jc w:val="both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Үкіметі </w:t>
      </w:r>
      <w:r>
        <w:rPr>
          <w:rStyle w:val="s0"/>
          <w:b/>
          <w:bCs/>
        </w:rPr>
        <w:t>ҚАУЛЫ</w:t>
      </w:r>
      <w:r>
        <w:rPr>
          <w:rStyle w:val="s0"/>
          <w:b/>
          <w:bCs/>
        </w:rPr>
        <w:t xml:space="preserve"> ЕТЕДІ:</w:t>
      </w:r>
    </w:p>
    <w:p w:rsidR="00000000" w:rsidRDefault="00A51EE1">
      <w:pPr>
        <w:ind w:firstLine="400"/>
        <w:jc w:val="both"/>
      </w:pPr>
      <w:r>
        <w:rPr>
          <w:rStyle w:val="s0"/>
        </w:rPr>
        <w:t>1. «Қосылған құн салығы «Салық және бюджетке төленетін басқа да міндетті төлемдер туралы» Қазақстан Рес</w:t>
      </w:r>
      <w:r>
        <w:rPr>
          <w:rStyle w:val="s0"/>
        </w:rPr>
        <w:t>публикасының 2001 жылғы 12 маусымдағы Кодексінде (Салық кодексі) белгіленген тәртіппен есепке алу әдісімен төленетін импортталатын тауарлардың тізбесін және оны қалыптастыру ережесін бекіту туралы» Қазақстан Республикасы Үкіметінің 2003 жылғы 19 наурыздағы</w:t>
      </w:r>
      <w:r>
        <w:rPr>
          <w:rStyle w:val="s0"/>
        </w:rPr>
        <w:t xml:space="preserve"> № 269 </w:t>
      </w:r>
      <w:hyperlink r:id="rId8" w:history="1">
        <w:r>
          <w:rPr>
            <w:rStyle w:val="a3"/>
          </w:rPr>
          <w:t>қаулысына</w:t>
        </w:r>
      </w:hyperlink>
      <w:r>
        <w:rPr>
          <w:rStyle w:val="s0"/>
        </w:rPr>
        <w:t> мынадай толықтырулар мен өзгерістер енгізілсін:</w:t>
      </w:r>
    </w:p>
    <w:p w:rsidR="00000000" w:rsidRDefault="00A51EE1">
      <w:pPr>
        <w:ind w:firstLine="400"/>
        <w:jc w:val="both"/>
      </w:pPr>
      <w:r>
        <w:rPr>
          <w:rStyle w:val="s0"/>
        </w:rPr>
        <w:t>көрсетілген қаулымен бекітілген «Қосылған құн салығы «Салық және бюджетке төленетін басқа да міндетті төлемдер туралы» Қазақст</w:t>
      </w:r>
      <w:r>
        <w:rPr>
          <w:rStyle w:val="s0"/>
        </w:rPr>
        <w:t>ан Республикасының 2001 жылғы 12 маусымдағы Кодексінде (Салық кодексі) белгіленген тәртіппен есепке алу әдісімен төленетін</w:t>
      </w:r>
    </w:p>
    <w:p w:rsidR="00000000" w:rsidRDefault="00A51EE1">
      <w:pPr>
        <w:ind w:firstLine="400"/>
        <w:jc w:val="both"/>
      </w:pPr>
      <w:r>
        <w:rPr>
          <w:rStyle w:val="s0"/>
        </w:rPr>
        <w:t>импортталатын тауарлардың тізбесінде</w:t>
      </w:r>
    </w:p>
    <w:p w:rsidR="00000000" w:rsidRDefault="00A51EE1">
      <w:pPr>
        <w:ind w:firstLine="400"/>
        <w:jc w:val="both"/>
      </w:pPr>
      <w:r>
        <w:rPr>
          <w:rStyle w:val="s0"/>
        </w:rPr>
        <w:t>мынадай мазмұндағы рет нөмірлері 40-2, 55-1, 65-1, 191-1 - жолдармен толықтырылсын:</w:t>
      </w: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4819"/>
        <w:gridCol w:w="1560"/>
        <w:gridCol w:w="1421"/>
      </w:tblGrid>
      <w:tr w:rsidR="00000000">
        <w:trPr>
          <w:trHeight w:val="1099"/>
        </w:trPr>
        <w:tc>
          <w:tcPr>
            <w:tcW w:w="67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A51EE1">
            <w:r>
              <w:rPr>
                <w:rStyle w:val="s0"/>
              </w:rPr>
              <w:t> «40-2</w:t>
            </w:r>
          </w:p>
        </w:tc>
        <w:tc>
          <w:tcPr>
            <w:tcW w:w="48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A51EE1">
            <w:r>
              <w:rPr>
                <w:rStyle w:val="s0"/>
              </w:rPr>
              <w:t>15 бардан астам артық жұмыс қысымы</w:t>
            </w:r>
          </w:p>
          <w:p w:rsidR="00000000" w:rsidRDefault="00A51EE1">
            <w:r>
              <w:rPr>
                <w:rStyle w:val="s0"/>
              </w:rPr>
              <w:t>бар, өнімділігі 120 м</w:t>
            </w:r>
            <w:r>
              <w:rPr>
                <w:rStyle w:val="s0"/>
                <w:vertAlign w:val="superscript"/>
              </w:rPr>
              <w:t>3</w:t>
            </w:r>
            <w:r>
              <w:rPr>
                <w:rStyle w:val="s0"/>
              </w:rPr>
              <w:t>/ сағаттан</w:t>
            </w:r>
          </w:p>
          <w:p w:rsidR="00000000" w:rsidRDefault="00A51EE1">
            <w:r>
              <w:rPr>
                <w:rStyle w:val="s0"/>
              </w:rPr>
              <w:t>аспайтын көлемді қайта келу қарыштау</w:t>
            </w:r>
          </w:p>
          <w:p w:rsidR="00000000" w:rsidRDefault="00A51EE1">
            <w:r>
              <w:rPr>
                <w:rStyle w:val="s0"/>
              </w:rPr>
              <w:t>компрессорлары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A51EE1">
            <w:r>
              <w:rPr>
                <w:rStyle w:val="s0"/>
              </w:rPr>
              <w:t>8414</w:t>
            </w:r>
          </w:p>
        </w:tc>
        <w:tc>
          <w:tcPr>
            <w:tcW w:w="142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A51EE1">
            <w:r>
              <w:rPr>
                <w:rStyle w:val="s0"/>
              </w:rPr>
              <w:t>80 410 0</w:t>
            </w:r>
          </w:p>
        </w:tc>
      </w:tr>
      <w:tr w:rsidR="00000000">
        <w:trPr>
          <w:trHeight w:val="379"/>
        </w:trPr>
        <w:tc>
          <w:tcPr>
            <w:tcW w:w="67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A51EE1">
            <w:r>
              <w:rPr>
                <w:rStyle w:val="s0"/>
              </w:rPr>
              <w:t>55-1</w:t>
            </w:r>
          </w:p>
        </w:tc>
        <w:tc>
          <w:tcPr>
            <w:tcW w:w="48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A51EE1">
            <w:r>
              <w:rPr>
                <w:rStyle w:val="s0"/>
              </w:rPr>
              <w:t>ВНК-200 (конвейерлік үздіксіз өлшеу таразылары);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A51EE1">
            <w:r>
              <w:rPr>
                <w:rStyle w:val="s0"/>
              </w:rPr>
              <w:t>8423</w:t>
            </w:r>
          </w:p>
        </w:tc>
        <w:tc>
          <w:tcPr>
            <w:tcW w:w="142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A51EE1">
            <w:r>
              <w:rPr>
                <w:rStyle w:val="s0"/>
              </w:rPr>
              <w:t>20 000 0</w:t>
            </w:r>
          </w:p>
        </w:tc>
      </w:tr>
      <w:tr w:rsidR="00000000">
        <w:trPr>
          <w:trHeight w:val="931"/>
        </w:trPr>
        <w:tc>
          <w:tcPr>
            <w:tcW w:w="67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A51EE1">
            <w:r>
              <w:rPr>
                <w:rStyle w:val="s0"/>
              </w:rPr>
              <w:t>65-1</w:t>
            </w:r>
          </w:p>
        </w:tc>
        <w:tc>
          <w:tcPr>
            <w:tcW w:w="48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A51EE1">
            <w:r>
              <w:rPr>
                <w:rStyle w:val="s0"/>
              </w:rPr>
              <w:t xml:space="preserve">8428 90 300 0 ішкі субпозициясындағы     </w:t>
            </w:r>
          </w:p>
          <w:p w:rsidR="00000000" w:rsidRDefault="00A51EE1">
            <w:r>
              <w:rPr>
                <w:rStyle w:val="s0"/>
              </w:rPr>
              <w:t>прокатталған станның жабдығы үшін</w:t>
            </w:r>
          </w:p>
          <w:p w:rsidR="00000000" w:rsidRDefault="00A51EE1">
            <w:r>
              <w:rPr>
                <w:rStyle w:val="s0"/>
              </w:rPr>
              <w:t>ерекше немесе негізінен арналған бөліктер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A51EE1">
            <w:r>
              <w:rPr>
                <w:rStyle w:val="s0"/>
              </w:rPr>
              <w:t>8431</w:t>
            </w:r>
          </w:p>
        </w:tc>
        <w:tc>
          <w:tcPr>
            <w:tcW w:w="142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A51EE1">
            <w:r>
              <w:rPr>
                <w:rStyle w:val="s0"/>
              </w:rPr>
              <w:t>39 100 0</w:t>
            </w:r>
          </w:p>
        </w:tc>
      </w:tr>
      <w:tr w:rsidR="00000000">
        <w:trPr>
          <w:trHeight w:val="221"/>
        </w:trPr>
        <w:tc>
          <w:tcPr>
            <w:tcW w:w="67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A51EE1">
            <w:pPr>
              <w:spacing w:line="221" w:lineRule="atLeast"/>
            </w:pPr>
            <w:r>
              <w:rPr>
                <w:rStyle w:val="s0"/>
              </w:rPr>
              <w:t>191-1</w:t>
            </w:r>
          </w:p>
        </w:tc>
        <w:tc>
          <w:tcPr>
            <w:tcW w:w="48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A51EE1">
            <w:r>
              <w:rPr>
                <w:rStyle w:val="s0"/>
              </w:rPr>
              <w:t>ВТЗ-30СШ өздігінен жүретін шасси</w:t>
            </w:r>
          </w:p>
          <w:p w:rsidR="00000000" w:rsidRDefault="00A51EE1">
            <w:pPr>
              <w:spacing w:line="221" w:lineRule="atLeast"/>
            </w:pPr>
            <w:r>
              <w:rPr>
                <w:rStyle w:val="s0"/>
              </w:rPr>
              <w:t> (Владимир трактор зауыты)</w:t>
            </w:r>
          </w:p>
        </w:tc>
        <w:tc>
          <w:tcPr>
            <w:tcW w:w="29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A51EE1">
            <w:pPr>
              <w:spacing w:line="221" w:lineRule="atLeast"/>
            </w:pPr>
            <w:r>
              <w:rPr>
                <w:rStyle w:val="s0"/>
              </w:rPr>
              <w:t>8706-ден»;</w:t>
            </w:r>
          </w:p>
        </w:tc>
      </w:tr>
    </w:tbl>
    <w:p w:rsidR="00000000" w:rsidRDefault="00A51EE1">
      <w:pPr>
        <w:ind w:firstLine="400"/>
        <w:jc w:val="both"/>
      </w:pPr>
      <w:r>
        <w:rPr>
          <w:rStyle w:val="s0"/>
        </w:rPr>
        <w:t>реттік нөмірі 61-жолдың 2-бағаны мынадай редакцияда жазылсын:</w:t>
      </w:r>
    </w:p>
    <w:p w:rsidR="00000000" w:rsidRDefault="00A51EE1">
      <w:pPr>
        <w:ind w:firstLine="400"/>
        <w:jc w:val="both"/>
      </w:pPr>
      <w:r>
        <w:rPr>
          <w:rStyle w:val="s0"/>
        </w:rPr>
        <w:t>«Кеменің деррик-крандары; кабель-крандарды қоса алғанда, көтергіш крандар; көтергіш кранмен жарақталған көтергіш жылжымалы фермалар, портальды жүк тиегіштер мен тіркемелер, жүк көтерімділігі 0,5</w:t>
      </w:r>
      <w:r>
        <w:rPr>
          <w:rStyle w:val="s0"/>
        </w:rPr>
        <w:t xml:space="preserve"> тоннадан 60 тоннаға дейін электрлі көпірлі крандарды, жүк</w:t>
      </w:r>
    </w:p>
    <w:p w:rsidR="00000000" w:rsidRDefault="00A51EE1">
      <w:pPr>
        <w:ind w:firstLine="400"/>
        <w:jc w:val="both"/>
      </w:pPr>
      <w:r>
        <w:rPr>
          <w:rStyle w:val="s0"/>
        </w:rPr>
        <w:t>көтерімділігі 5 тоннадан 32 тоннаға дейін электрлі төрт тағанды крандарды, жол автокөлік құралдарында монтаж үшін арналған, жүк көтерімділігі 10 тоннадан 25 тоннаға дейін крандардан басқа гидравлик</w:t>
      </w:r>
      <w:r>
        <w:rPr>
          <w:rStyle w:val="s0"/>
        </w:rPr>
        <w:t>алық крандар».</w:t>
      </w:r>
    </w:p>
    <w:p w:rsidR="00000000" w:rsidRDefault="00A51EE1">
      <w:pPr>
        <w:ind w:firstLine="400"/>
        <w:jc w:val="both"/>
      </w:pPr>
      <w:r>
        <w:rPr>
          <w:rStyle w:val="s0"/>
        </w:rPr>
        <w:t>2. Осы қаулы алғаш рет ресми жарияланған күнінен бастап он күнтізбелік күн өткен соң қолданысқа енгізіледі.</w:t>
      </w:r>
    </w:p>
    <w:p w:rsidR="00000000" w:rsidRDefault="00A51EE1">
      <w:pPr>
        <w:ind w:firstLine="400"/>
        <w:jc w:val="both"/>
      </w:pPr>
      <w:r>
        <w:rPr>
          <w:rStyle w:val="s0"/>
        </w:rPr>
        <w:t> </w:t>
      </w:r>
    </w:p>
    <w:p w:rsidR="00000000" w:rsidRDefault="00A51EE1">
      <w:pPr>
        <w:ind w:firstLine="400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1EE1">
            <w:pPr>
              <w:ind w:firstLine="400"/>
              <w:jc w:val="both"/>
            </w:pPr>
            <w:r>
              <w:rPr>
                <w:rStyle w:val="s0"/>
                <w:b/>
                <w:bCs/>
              </w:rPr>
              <w:t>Қазақстан</w:t>
            </w:r>
            <w:r>
              <w:rPr>
                <w:rStyle w:val="s0"/>
                <w:b/>
                <w:bCs/>
              </w:rPr>
              <w:t xml:space="preserve"> Республикасының</w:t>
            </w:r>
          </w:p>
          <w:p w:rsidR="00000000" w:rsidRDefault="00A51EE1">
            <w:pPr>
              <w:ind w:firstLine="400"/>
              <w:jc w:val="both"/>
            </w:pPr>
            <w:r>
              <w:rPr>
                <w:rStyle w:val="s0"/>
                <w:b/>
                <w:bCs/>
              </w:rPr>
              <w:t>Премьер-Министрі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1EE1">
            <w:pPr>
              <w:ind w:firstLine="400"/>
              <w:jc w:val="both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A51EE1">
            <w:pPr>
              <w:ind w:firstLine="400"/>
              <w:jc w:val="right"/>
            </w:pPr>
            <w:r>
              <w:rPr>
                <w:rStyle w:val="s0"/>
                <w:b/>
                <w:bCs/>
              </w:rPr>
              <w:t>К. Мәсімов</w:t>
            </w:r>
          </w:p>
        </w:tc>
      </w:tr>
    </w:tbl>
    <w:p w:rsidR="00000000" w:rsidRDefault="00A51EE1">
      <w:pPr>
        <w:ind w:firstLine="400"/>
        <w:jc w:val="both"/>
      </w:pPr>
      <w:r>
        <w:rPr>
          <w:rStyle w:val="s0"/>
          <w:b/>
          <w:bCs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EE1" w:rsidRDefault="00A51EE1" w:rsidP="00A51EE1">
      <w:r>
        <w:separator/>
      </w:r>
    </w:p>
  </w:endnote>
  <w:endnote w:type="continuationSeparator" w:id="0">
    <w:p w:rsidR="00A51EE1" w:rsidRDefault="00A51EE1" w:rsidP="00A5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E1" w:rsidRDefault="00A51EE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E1" w:rsidRDefault="00A51EE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E1" w:rsidRDefault="00A51EE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EE1" w:rsidRDefault="00A51EE1" w:rsidP="00A51EE1">
      <w:r>
        <w:separator/>
      </w:r>
    </w:p>
  </w:footnote>
  <w:footnote w:type="continuationSeparator" w:id="0">
    <w:p w:rsidR="00A51EE1" w:rsidRDefault="00A51EE1" w:rsidP="00A51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E1" w:rsidRDefault="00A51EE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E1" w:rsidRDefault="00A51EE1" w:rsidP="00A51EE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51EE1" w:rsidRDefault="00A51EE1" w:rsidP="00A51EE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 Үкіметінің 2003 жылғы 19 наурыздағы № 269 қаулысына толықтырулар мен өзгерістер енгізу туралы» Қазақстан Республикасы Үкіметінің 2007 жылғы 12 шілдедегі № 595 Қаулысы (күші жойылды)</w:t>
    </w:r>
  </w:p>
  <w:p w:rsidR="00A51EE1" w:rsidRPr="00A51EE1" w:rsidRDefault="00A51EE1" w:rsidP="00A51EE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19.09.2015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E1" w:rsidRDefault="00A51E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51EE1"/>
    <w:rsid w:val="00A5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51E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1EE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51E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1EE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51E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1EE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51E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1EE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3828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224098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2092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«Қазақстан Республикасы Үкіметінің 2003 жылғы 19 наурыздағы № 269 қаулысына толықтырулар мен өзгерістер енгізу туралы» Қазақстан Республикасы Үкіметінің 2007 жылғы 12 шілдедегі № 595 Қаулысы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2024-02-21T23:49:00Z</dcterms:created>
  <dcterms:modified xsi:type="dcterms:W3CDTF">2024-02-21T23:49:00Z</dcterms:modified>
</cp:coreProperties>
</file>