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663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марта 2009 года № 373 «Об утверждении Правил определения суммы превышения налога на добавленную стоимость, подлежащей возврату, и критериев отнесения реализации товаров, работ, услуг, облагаемых по нул</w:t>
      </w:r>
      <w:r>
        <w:rPr>
          <w:rStyle w:val="s0"/>
          <w:b/>
          <w:bCs/>
        </w:rPr>
        <w:t>евой ставке, к постоянной реализации» (с изменениями и дополнениями по состоянию на 27.01.2016 г.) (утратило силу)</w:t>
      </w:r>
    </w:p>
    <w:p w:rsidR="00000000" w:rsidRDefault="002C6630">
      <w:pPr>
        <w:ind w:firstLine="400"/>
        <w:jc w:val="both"/>
      </w:pPr>
      <w:r>
        <w:rPr>
          <w:rStyle w:val="s0"/>
        </w:rPr>
        <w:t> </w:t>
      </w:r>
    </w:p>
    <w:p w:rsidR="00000000" w:rsidRDefault="002C6630">
      <w:pPr>
        <w:ind w:firstLine="400"/>
        <w:jc w:val="both"/>
      </w:pPr>
      <w:r>
        <w:rPr>
          <w:rStyle w:val="s0"/>
        </w:rPr>
        <w:t>Опубликовано: «Казахстанская правда» от 31 марта 2009 г. № 90 (25834); САПП Республики Казахстан, 2009 г., № 16, ст. 137</w:t>
      </w:r>
    </w:p>
    <w:p w:rsidR="00000000" w:rsidRDefault="002C6630">
      <w:pPr>
        <w:ind w:firstLine="400"/>
        <w:jc w:val="both"/>
      </w:pPr>
      <w:r>
        <w:rPr>
          <w:rStyle w:val="s0"/>
        </w:rPr>
        <w:t> </w:t>
      </w:r>
    </w:p>
    <w:p w:rsidR="00000000" w:rsidRDefault="002C663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2018 года № 922</w:t>
      </w:r>
    </w:p>
    <w:p w:rsidR="00000000" w:rsidRDefault="002C6630">
      <w:pPr>
        <w:ind w:firstLine="400"/>
        <w:jc w:val="both"/>
      </w:pPr>
      <w:r>
        <w:t> </w:t>
      </w:r>
    </w:p>
    <w:p w:rsidR="00000000" w:rsidRDefault="002C663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C6630">
      <w:pPr>
        <w:ind w:firstLine="400"/>
        <w:jc w:val="both"/>
      </w:pPr>
      <w:r>
        <w:rPr>
          <w:rStyle w:val="s0"/>
        </w:rPr>
        <w:t> </w:t>
      </w:r>
    </w:p>
    <w:p w:rsidR="00000000" w:rsidRDefault="002C6630">
      <w:pPr>
        <w:ind w:firstLine="400"/>
        <w:jc w:val="both"/>
      </w:pPr>
      <w:hyperlink r:id="rId8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30.06.11 г. № 739 (введено в действие с 31 марта 2009 года);</w:t>
      </w:r>
    </w:p>
    <w:p w:rsidR="00000000" w:rsidRDefault="002C6630">
      <w:pPr>
        <w:ind w:firstLine="400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18.10.12 г. № 1322 (введено в действие с 1 января 2011 года);</w:t>
      </w:r>
    </w:p>
    <w:p w:rsidR="00000000" w:rsidRDefault="002C6630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132 (введено в действие с 1 января 2014 года);</w:t>
      </w:r>
    </w:p>
    <w:p w:rsidR="00000000" w:rsidRDefault="002C6630">
      <w:pPr>
        <w:ind w:firstLine="400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</w:t>
      </w:r>
      <w:r>
        <w:rPr>
          <w:rStyle w:val="s0"/>
        </w:rPr>
        <w:t xml:space="preserve">01.16 г. № 29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C6630">
      <w:pPr>
        <w:ind w:firstLine="400"/>
        <w:jc w:val="both"/>
      </w:pPr>
      <w:r>
        <w:rPr>
          <w:rStyle w:val="s0"/>
        </w:rPr>
        <w:t> </w:t>
      </w:r>
    </w:p>
    <w:p w:rsidR="00000000" w:rsidRDefault="002C663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C6630">
      <w:pPr>
        <w:ind w:firstLine="400"/>
        <w:jc w:val="both"/>
      </w:pPr>
      <w:r>
        <w:rPr>
          <w:rStyle w:val="s0"/>
        </w:rPr>
        <w:t> </w:t>
      </w:r>
    </w:p>
    <w:p w:rsidR="00000000" w:rsidRDefault="002C6630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30.06.11 г.</w:t>
      </w:r>
    </w:p>
    <w:p w:rsidR="00000000" w:rsidRDefault="002C6630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18.10.12 г.</w:t>
      </w:r>
    </w:p>
    <w:p w:rsidR="00000000" w:rsidRDefault="002C6630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13.03.15 г.</w:t>
      </w:r>
    </w:p>
    <w:p w:rsidR="00000000" w:rsidRDefault="002C6630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27.01.16 г.</w:t>
      </w:r>
    </w:p>
    <w:p w:rsidR="00000000" w:rsidRDefault="002C6630">
      <w:pPr>
        <w:ind w:firstLine="400"/>
        <w:jc w:val="both"/>
      </w:pPr>
      <w:r>
        <w:rPr>
          <w:rStyle w:val="s0"/>
        </w:rPr>
        <w:t> </w:t>
      </w:r>
    </w:p>
    <w:p w:rsidR="00000000" w:rsidRDefault="002C6630">
      <w:pPr>
        <w:ind w:firstLine="400"/>
        <w:jc w:val="both"/>
      </w:pPr>
      <w:r>
        <w:rPr>
          <w:rStyle w:val="s0"/>
        </w:rPr>
        <w:t> </w:t>
      </w:r>
    </w:p>
    <w:p w:rsidR="00000000" w:rsidRDefault="002C66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6630" w:rsidRDefault="002C6630" w:rsidP="002C6630">
      <w:r>
        <w:separator/>
      </w:r>
    </w:p>
  </w:endnote>
  <w:endnote w:type="continuationSeparator" w:id="0">
    <w:p w:rsidR="002C6630" w:rsidRDefault="002C6630" w:rsidP="002C66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630" w:rsidRDefault="002C66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630" w:rsidRDefault="002C66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630" w:rsidRDefault="002C66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6630" w:rsidRDefault="002C6630" w:rsidP="002C6630">
      <w:r>
        <w:separator/>
      </w:r>
    </w:p>
  </w:footnote>
  <w:footnote w:type="continuationSeparator" w:id="0">
    <w:p w:rsidR="002C6630" w:rsidRDefault="002C6630" w:rsidP="002C66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630" w:rsidRDefault="002C66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630" w:rsidRDefault="002C6630" w:rsidP="002C66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6630" w:rsidRPr="002C6630" w:rsidRDefault="002C6630" w:rsidP="002C66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марта 2009 года № 373 «Об утверждении Правил определения суммы превышения налога на добавленную стоимость, подлежащей возврату, и критериев отнесения реализации товаров, работ, услуг, облагаемых по нулевой ставке, к постоянной реализации» (с изменениями и дополнениями по состоянию на 27.01.2016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630" w:rsidRDefault="002C66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6630"/>
    <w:rsid w:val="002C6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66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66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66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66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66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66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66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66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5873" TargetMode="External"/><Relationship Id="rId13" Type="http://schemas.openxmlformats.org/officeDocument/2006/relationships/hyperlink" Target="http://online.zakon.kz/Document/?doc_id=3102593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7541934" TargetMode="External"/><Relationship Id="rId12" Type="http://schemas.openxmlformats.org/officeDocument/2006/relationships/hyperlink" Target="http://online.zakon.kz/Document/?doc_id=3486544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6146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3901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8352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8335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77624" TargetMode="External"/><Relationship Id="rId14" Type="http://schemas.openxmlformats.org/officeDocument/2006/relationships/hyperlink" Target="http://online.zakon.kz/Document/?doc_id=3127782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1797</Characters>
  <Application>Microsoft Office Word</Application>
  <DocSecurity>0</DocSecurity>
  <Lines>14</Lines>
  <Paragraphs>3</Paragraphs>
  <ScaleCrop>false</ScaleCrop>
  <Company/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марта 2009 года № 373 «Об утверждении Правил определения суммы превышения налога на добавленную стоимость, подлежащей возврату, и критериев отнесения реализации товаров, работ, услуг, облагаемых по нулевой ставке, к постоянной реализации» (с изменениями и дополнениями по состоянию на 27.01.2016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2023-11-29T14:40:00Z</dcterms:created>
  <dcterms:modified xsi:type="dcterms:W3CDTF">2023-11-29T14:40:00Z</dcterms:modified>
</cp:coreProperties>
</file>