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58D">
      <w:pPr>
        <w:ind w:firstLine="400"/>
        <w:jc w:val="both"/>
      </w:pPr>
      <w:bookmarkStart w:id="0" w:name="_GoBack"/>
      <w:bookmarkEnd w:id="0"/>
      <w:r>
        <w:t>ГОСТ 12.1.012-2004 «Система стандартов безопасности труда. Вибрационная безопасность. Общие требования»</w:t>
      </w:r>
    </w:p>
    <w:p w:rsidR="00000000" w:rsidRDefault="0084258D">
      <w:pPr>
        <w:ind w:firstLine="400"/>
        <w:jc w:val="both"/>
      </w:pPr>
      <w:r>
        <w:t> </w:t>
      </w:r>
    </w:p>
    <w:p w:rsidR="00000000" w:rsidRDefault="0084258D">
      <w:pPr>
        <w:jc w:val="center"/>
      </w:pPr>
      <w:r>
        <w:rPr>
          <w:rStyle w:val="s1"/>
        </w:rPr>
        <w:t>Предисловие</w:t>
      </w:r>
    </w:p>
    <w:p w:rsidR="00000000" w:rsidRDefault="0084258D">
      <w:pPr>
        <w:jc w:val="center"/>
      </w:pPr>
      <w:r>
        <w:rPr>
          <w:rStyle w:val="s1"/>
        </w:rPr>
        <w:t> 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 xml:space="preserve">Цели, основные принципы и основной порядок проведения работ по межгосударственной стандартизации установлены </w:t>
      </w:r>
      <w:hyperlink r:id="rId7" w:history="1">
        <w:r>
          <w:rPr>
            <w:rStyle w:val="a3"/>
          </w:rPr>
          <w:t>ГОСТ 1.0-92</w:t>
        </w:r>
      </w:hyperlink>
      <w:r>
        <w:t xml:space="preserve"> «Межгосударственная система стандартизации. Основные положения» и </w:t>
      </w:r>
      <w:hyperlink r:id="rId8" w:history="1">
        <w:r>
          <w:rPr>
            <w:rStyle w:val="a3"/>
          </w:rPr>
          <w:t>ГОСТ 1.2-97</w:t>
        </w:r>
      </w:hyperlink>
      <w:r>
        <w:t xml:space="preserve"> «Межгосударственная система стандарт</w:t>
      </w:r>
      <w:r>
        <w:t>изации. Стандарты межгосударственные, правила и рекомендации по межгосударственной стандартизации. Порядок разработки, принятия, применения, обновления и отмены»</w:t>
      </w:r>
    </w:p>
    <w:p w:rsidR="00000000" w:rsidRDefault="0084258D">
      <w:pPr>
        <w:ind w:firstLine="400"/>
        <w:jc w:val="both"/>
      </w:pPr>
      <w:r>
        <w:rPr>
          <w:rStyle w:val="s0"/>
          <w:b/>
          <w:bCs/>
        </w:rPr>
        <w:t>Сведения о стандарте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1 РАЗРАБОТАН Открытым акционерным обществом «Научно-исследовательский цен</w:t>
      </w:r>
      <w:r>
        <w:t>тр контроля и диагностики технических систем»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2 ВНЕСЕН Госстандартом России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3 ПРИНЯТ Межгосударственным советом по стандартизации, метрологии и сертификации по переписке (протокол № 15 от 4 февраля 2004 г.)</w:t>
      </w:r>
    </w:p>
    <w:p w:rsidR="00000000" w:rsidRDefault="0084258D">
      <w:pPr>
        <w:ind w:firstLine="400"/>
        <w:jc w:val="both"/>
      </w:pPr>
      <w:r>
        <w:rPr>
          <w:rStyle w:val="s0"/>
        </w:rPr>
        <w:t>Введен в действие на территории Республики Казахс</w:t>
      </w:r>
      <w:r>
        <w:rPr>
          <w:rStyle w:val="s0"/>
        </w:rPr>
        <w:t>тан с 01.01.2009 г. (</w:t>
      </w:r>
      <w:hyperlink r:id="rId9" w:history="1">
        <w:r>
          <w:rPr>
            <w:rStyle w:val="a3"/>
          </w:rPr>
          <w:t>приложение</w:t>
        </w:r>
      </w:hyperlink>
      <w:r>
        <w:rPr>
          <w:rStyle w:val="s0"/>
        </w:rPr>
        <w:t xml:space="preserve"> Приказу Председателя Комитета по техническому регулированию и метрологии Министерства индустрии и торговли Республики Казахстан от 01 августа 2008 года № 382-о</w:t>
      </w:r>
      <w:r>
        <w:rPr>
          <w:rStyle w:val="s0"/>
        </w:rPr>
        <w:t>д)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За принятие проголосовали: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9"/>
        <w:gridCol w:w="2050"/>
        <w:gridCol w:w="4102"/>
      </w:tblGrid>
      <w:tr w:rsidR="00000000">
        <w:tc>
          <w:tcPr>
            <w:tcW w:w="17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center"/>
            </w:pPr>
            <w:r>
              <w:t>Краткое наименование страны по МК (ИСО 3166) 004-97</w:t>
            </w:r>
          </w:p>
        </w:tc>
        <w:tc>
          <w:tcPr>
            <w:tcW w:w="1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center"/>
            </w:pPr>
            <w:r>
              <w:t>Код страны по МК (ИСО 3166) 004-97</w:t>
            </w:r>
          </w:p>
        </w:tc>
        <w:tc>
          <w:tcPr>
            <w:tcW w:w="21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center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Армения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AM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Армгосстандарт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Казахстан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KZ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Госстандарт Республики Казахстан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Кыргызстан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KG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Кыргызстандарт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Российская Федерация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RU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Госстандарт России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Таджикистан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TJ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Таджикстандарт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Узбекистан</w:t>
            </w:r>
          </w:p>
        </w:tc>
        <w:tc>
          <w:tcPr>
            <w:tcW w:w="107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UZ</w:t>
            </w:r>
          </w:p>
        </w:tc>
        <w:tc>
          <w:tcPr>
            <w:tcW w:w="214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Агентство «Узстандарт»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Молдова</w:t>
            </w:r>
          </w:p>
        </w:tc>
        <w:tc>
          <w:tcPr>
            <w:tcW w:w="1071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МД</w:t>
            </w:r>
          </w:p>
        </w:tc>
        <w:tc>
          <w:tcPr>
            <w:tcW w:w="214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Молдова-Стандарт</w:t>
            </w:r>
          </w:p>
        </w:tc>
      </w:tr>
      <w:tr w:rsidR="00000000">
        <w:tc>
          <w:tcPr>
            <w:tcW w:w="1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Беларусь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BY</w:t>
            </w:r>
          </w:p>
        </w:tc>
        <w:tc>
          <w:tcPr>
            <w:tcW w:w="2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58D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Госстандарт Республики Беларусь</w:t>
            </w:r>
          </w:p>
        </w:tc>
      </w:tr>
    </w:tbl>
    <w:p w:rsidR="00000000" w:rsidRDefault="0084258D">
      <w:pPr>
        <w:ind w:firstLine="400"/>
        <w:jc w:val="both"/>
      </w:pPr>
      <w:r>
        <w:rPr>
          <w:b/>
          <w:bCs/>
        </w:rPr>
        <w:t xml:space="preserve">(Поправки. </w:t>
      </w:r>
      <w:hyperlink r:id="rId10" w:history="1">
        <w:r>
          <w:rPr>
            <w:rStyle w:val="a3"/>
          </w:rPr>
          <w:t>ИУС 11-2008</w:t>
        </w:r>
      </w:hyperlink>
      <w:r>
        <w:rPr>
          <w:b/>
          <w:bCs/>
        </w:rPr>
        <w:t xml:space="preserve">); </w:t>
      </w:r>
      <w:r>
        <w:t>(</w:t>
      </w:r>
      <w:hyperlink r:id="rId11" w:history="1">
        <w:r>
          <w:rPr>
            <w:rStyle w:val="a3"/>
          </w:rPr>
          <w:t>ИУС № 12 2008 г.</w:t>
        </w:r>
      </w:hyperlink>
      <w:r>
        <w:t>); (</w:t>
      </w:r>
      <w:hyperlink r:id="rId12" w:anchor="sub_id=13" w:history="1">
        <w:r>
          <w:rPr>
            <w:rStyle w:val="a3"/>
          </w:rPr>
          <w:t>ИУС № 8, 2009 г.</w:t>
        </w:r>
      </w:hyperlink>
      <w:r>
        <w:t>)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4 В настоящем стандарте учтены основные нормативные положения следующих европейских стандартов: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- ЕН 12096:1997 «Вибрация. Заявление и подтверждение заявленных характеристик вибрационной активности машин и оборудования» (E№ 12096:97 «Mechanical vibration - Declaration and verification of vibration emission values»);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- EH 12786:1999 «Безопасность маши</w:t>
      </w:r>
      <w:r>
        <w:t>н. Руководство по составлению разделов вибрационной безопасности в общих стандартах безопасности» (E№ 12786:99 «Safety of machinery - Guidance for the drafting of vibration clauses of safety standards»)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 xml:space="preserve">5 ВЗАМЕН </w:t>
      </w:r>
      <w:hyperlink r:id="rId13" w:history="1">
        <w:r>
          <w:rPr>
            <w:rStyle w:val="a3"/>
          </w:rPr>
          <w:t>ГОСТ 12.1.012-90</w:t>
        </w:r>
      </w:hyperlink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rPr>
          <w:i/>
          <w:iCs/>
        </w:rPr>
        <w:t>Информация о введении в действие (прекращении действия) настоящего стандарта публикуется в указателе «Национальные стандарты».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rPr>
          <w:i/>
          <w:iCs/>
        </w:rPr>
        <w:t>Информация об изменениях к настоящему стандарту публикуется в указателе «Национальные ста</w:t>
      </w:r>
      <w:r>
        <w:rPr>
          <w:i/>
          <w:iCs/>
        </w:rPr>
        <w:t>ндарты», а текст изменений - в информационных указателях «Национальные стандарты». В случае пересмотра или отмены настоящего стандарта соответствующая информация будет опубликована в информационном указателе «Национальные стандарты»</w:t>
      </w:r>
    </w:p>
    <w:p w:rsidR="00000000" w:rsidRDefault="0084258D">
      <w:pPr>
        <w:pStyle w:val="a5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84258D">
      <w:pPr>
        <w:jc w:val="center"/>
      </w:pPr>
      <w:r>
        <w:rPr>
          <w:rStyle w:val="s1"/>
        </w:rPr>
        <w:t>Введение</w:t>
      </w:r>
    </w:p>
    <w:p w:rsidR="00000000" w:rsidRDefault="0084258D">
      <w:r>
        <w:rPr>
          <w:rStyle w:val="s0"/>
        </w:rPr>
        <w:t> </w:t>
      </w:r>
    </w:p>
    <w:p w:rsidR="00000000" w:rsidRDefault="0084258D">
      <w:pPr>
        <w:ind w:firstLine="400"/>
        <w:jc w:val="both"/>
      </w:pPr>
      <w:r>
        <w:rPr>
          <w:rStyle w:val="s0"/>
        </w:rPr>
        <w:t>Задачей об</w:t>
      </w:r>
      <w:r>
        <w:rPr>
          <w:rStyle w:val="s0"/>
        </w:rPr>
        <w:t>еспечения вибрационной безопасности является предотвращение условий, при которых воздействие вибрации могло бы привести к ухудшению состояния здоровья работников, в том числе к профессиональным заболеваниям, а также к значительному снижению комфортности ус</w:t>
      </w:r>
      <w:r>
        <w:rPr>
          <w:rStyle w:val="s0"/>
        </w:rPr>
        <w:t>ловий труда (особенно для лиц профессий, требующих при выполнении производственного задания исключительного внимания во избежание возникновения опасных ситуаций, например водителей транспортных средств).</w:t>
      </w:r>
    </w:p>
    <w:p w:rsidR="00000000" w:rsidRDefault="0084258D">
      <w:pPr>
        <w:ind w:firstLine="400"/>
        <w:jc w:val="both"/>
      </w:pPr>
      <w:r>
        <w:rPr>
          <w:rStyle w:val="s0"/>
        </w:rPr>
        <w:t>Вибрация, создаваемая машинами, механизированным инс</w:t>
      </w:r>
      <w:r>
        <w:rPr>
          <w:rStyle w:val="s0"/>
        </w:rPr>
        <w:t>трументом и оборудованием (далее - машины), способна привести как к нарушениям в работе и выходу из строя самих машин, так и служить причиной повреждения других технических и строительных объектов. Это может повлечь за собой возникновение аварийных ситуаци</w:t>
      </w:r>
      <w:r>
        <w:rPr>
          <w:rStyle w:val="s0"/>
        </w:rPr>
        <w:t>й и, в конечном счете, неблагоприятных воздействий на человека, получение им травм. Поэтому контроль за вибрационным состоянием машин и вибропрочностью объектов также относят (в широком смысле) к мерам по обеспечению вибрационной безопасности, однако данна</w:t>
      </w:r>
      <w:r>
        <w:rPr>
          <w:rStyle w:val="s0"/>
        </w:rPr>
        <w:t>я проблема не входит в область применения настоящего стандарта.</w:t>
      </w:r>
    </w:p>
    <w:p w:rsidR="00000000" w:rsidRDefault="0084258D">
      <w:pPr>
        <w:ind w:firstLine="400"/>
        <w:jc w:val="both"/>
      </w:pPr>
      <w:r>
        <w:rPr>
          <w:rStyle w:val="s0"/>
        </w:rPr>
        <w:t>Для того чтобы требования обеспечения безопасности труда и, в частности, вибрационной безопасности, были выполнены в комплексе, им следует уделять должное внимание на самых разных уровнях - от</w:t>
      </w:r>
      <w:r>
        <w:rPr>
          <w:rStyle w:val="s0"/>
        </w:rPr>
        <w:t xml:space="preserve"> уровня предприятия до национального и даже международного. При этом в данной области наблюдается столкновение интересов многих сторон. В настоящем стандарте выделены основные стороны, отвечающие за обеспечение вибрационной безопасности, с указанием степен</w:t>
      </w:r>
      <w:r>
        <w:rPr>
          <w:rStyle w:val="s0"/>
        </w:rPr>
        <w:t>и этой ответственности.</w:t>
      </w:r>
    </w:p>
    <w:p w:rsidR="00000000" w:rsidRDefault="0084258D">
      <w:pPr>
        <w:ind w:firstLine="400"/>
        <w:jc w:val="both"/>
      </w:pPr>
      <w:r>
        <w:rPr>
          <w:rStyle w:val="s0"/>
        </w:rPr>
        <w:t>Наиболее важными ответственными сторонами в области обеспечения вибрационной безопасности являются государство, работодатель и изготовитель (поставщик) машин - основных источников вибрации антропогенного характера. В настоящем станд</w:t>
      </w:r>
      <w:r>
        <w:rPr>
          <w:rStyle w:val="s0"/>
        </w:rPr>
        <w:t>арте отражена концепция вибрационной безопасности, принятая в странах Европейского Союза (ЕС) и других промышленно развитых странах, когда на изготовителя машины ложится ответственность за заявление характеристик этой машины, непосредственно влияющих на ус</w:t>
      </w:r>
      <w:r>
        <w:rPr>
          <w:rStyle w:val="s0"/>
        </w:rPr>
        <w:t>ловия ее безопасного применения. После того как изготовитель выполнил свои обязательства и заявил требуемые характеристики машины, последней открывается беспрепятственный доступ на национальный и международные рынки. Дальнейшая ответственность за правильны</w:t>
      </w:r>
      <w:r>
        <w:rPr>
          <w:rStyle w:val="s0"/>
        </w:rPr>
        <w:t>й выбор машин и правильное их применение лежит на работодателе. Государство, в свою очередь, через законодательные акты определяет условия правильного (в смысле безопасности) применения машин, а через надзорные органы проверяет выполнение работодателем ука</w:t>
      </w:r>
      <w:r>
        <w:rPr>
          <w:rStyle w:val="s0"/>
        </w:rPr>
        <w:t xml:space="preserve">занных условий. При этом в соответствии с принятой международной практикой рекомендуется, чтобы государство при разработке законов и нормативов опиралось на общепризнанные международные стандарты. В </w:t>
      </w:r>
      <w:hyperlink r:id="rId14" w:anchor="sub_id=2" w:history="1">
        <w:r>
          <w:rPr>
            <w:rStyle w:val="a3"/>
          </w:rPr>
          <w:t>приложении В</w:t>
        </w:r>
      </w:hyperlink>
      <w:r>
        <w:rPr>
          <w:rStyle w:val="s0"/>
        </w:rPr>
        <w:t xml:space="preserve"> приведена схема международных и европейских стандартов в области вибрационной безопасности.</w:t>
      </w:r>
    </w:p>
    <w:p w:rsidR="00000000" w:rsidRDefault="0084258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58D" w:rsidRDefault="0084258D" w:rsidP="0084258D">
      <w:r>
        <w:separator/>
      </w:r>
    </w:p>
  </w:endnote>
  <w:endnote w:type="continuationSeparator" w:id="0">
    <w:p w:rsidR="0084258D" w:rsidRDefault="0084258D" w:rsidP="00842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58D" w:rsidRDefault="0084258D" w:rsidP="0084258D">
      <w:r>
        <w:separator/>
      </w:r>
    </w:p>
  </w:footnote>
  <w:footnote w:type="continuationSeparator" w:id="0">
    <w:p w:rsidR="0084258D" w:rsidRDefault="0084258D" w:rsidP="00842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 w:rsidP="00842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58D" w:rsidRPr="0084258D" w:rsidRDefault="0084258D" w:rsidP="00842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12.1.012-2004 «СИСТЕМА СТАНДАРТОВ БЕЗОПАСНОСТИ ТРУДА.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8D" w:rsidRDefault="00842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58D"/>
    <w:rsid w:val="00842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42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42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418" TargetMode="External"/><Relationship Id="rId13" Type="http://schemas.openxmlformats.org/officeDocument/2006/relationships/hyperlink" Target="http://online.zakon.kz/Document/?doc_id=300393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1927" TargetMode="External"/><Relationship Id="rId12" Type="http://schemas.openxmlformats.org/officeDocument/2006/relationships/hyperlink" Target="http://online.zakon.kz/Document/?doc_id=3050141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23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032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0010" TargetMode="External"/><Relationship Id="rId14" Type="http://schemas.openxmlformats.org/officeDocument/2006/relationships/hyperlink" Target="http://online.zakon.kz/Document/?doc_id=304791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657</Words>
  <Characters>5414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12.1.012-2004 «СИСТЕМА СТАНДАРТОВ БЕЗОПАСНОСТИ ТРУДА.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2024-05-20T06:51:00Z</dcterms:created>
  <dcterms:modified xsi:type="dcterms:W3CDTF">2024-05-20T06:51:00Z</dcterms:modified>
</cp:coreProperties>
</file>