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50D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18 июня 2010 года № 287 «Об утверждении формы пассажирской таможенной декларации и порядка заполнения пассажирской таможенной декларации» (г. Санкт-Петербург) с изменениями и дополнениями по состоянию на 14.11.2017 г.)</w:t>
      </w:r>
      <w:r>
        <w:rPr>
          <w:rStyle w:val="s0"/>
          <w:b/>
          <w:bCs/>
        </w:rPr>
        <w:t xml:space="preserve"> (утратило силу)</w:t>
      </w:r>
    </w:p>
    <w:p w:rsidR="00000000" w:rsidRDefault="006F50D5">
      <w:r>
        <w:t> </w:t>
      </w:r>
    </w:p>
    <w:p w:rsidR="00000000" w:rsidRDefault="006F50D5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25 июня 2010 г.</w:t>
      </w:r>
    </w:p>
    <w:p w:rsidR="00000000" w:rsidRDefault="006F50D5">
      <w:pPr>
        <w:ind w:firstLine="400"/>
        <w:jc w:val="both"/>
      </w:pPr>
      <w:r>
        <w:rPr>
          <w:rStyle w:val="s0"/>
        </w:rPr>
        <w:t> </w:t>
      </w:r>
    </w:p>
    <w:p w:rsidR="00000000" w:rsidRDefault="006F50D5">
      <w:pPr>
        <w:ind w:firstLine="397"/>
        <w:jc w:val="both"/>
      </w:pPr>
      <w:r>
        <w:rPr>
          <w:rStyle w:val="s0"/>
        </w:rPr>
        <w:t xml:space="preserve">Утратило силу с 1 февраля 2020 года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23 июля 2019 года № 124</w:t>
      </w:r>
    </w:p>
    <w:p w:rsidR="00000000" w:rsidRDefault="006F50D5">
      <w:pPr>
        <w:ind w:firstLine="400"/>
        <w:jc w:val="both"/>
      </w:pPr>
      <w:r>
        <w:rPr>
          <w:rStyle w:val="s0"/>
        </w:rPr>
        <w:t> </w:t>
      </w:r>
    </w:p>
    <w:p w:rsidR="00000000" w:rsidRDefault="006F50D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F50D5">
      <w:pPr>
        <w:ind w:firstLine="400"/>
        <w:jc w:val="both"/>
      </w:pPr>
      <w:r>
        <w:rPr>
          <w:rStyle w:val="s0"/>
        </w:rPr>
        <w:t> </w:t>
      </w:r>
    </w:p>
    <w:p w:rsidR="00000000" w:rsidRDefault="006F50D5">
      <w:pPr>
        <w:ind w:firstLine="400"/>
        <w:jc w:val="both"/>
      </w:pPr>
      <w:hyperlink r:id="rId9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Коллегии Евразийской экономической комиссии от 21.01.14 г. № 7 (вступило в силу по истечении 30 календарных дней с даты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F50D5">
      <w:pPr>
        <w:ind w:firstLine="400"/>
        <w:jc w:val="both"/>
      </w:pPr>
      <w:hyperlink r:id="rId11" w:anchor="sub_id=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18.07.14 г. № 115 (вступило в силу по истечении 6 месяцев с даты его официального </w:t>
      </w:r>
      <w:hyperlink r:id="rId12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);</w:t>
      </w:r>
    </w:p>
    <w:p w:rsidR="00000000" w:rsidRDefault="006F50D5">
      <w:pPr>
        <w:ind w:firstLine="400"/>
        <w:jc w:val="both"/>
      </w:pPr>
      <w:hyperlink r:id="rId13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27.04.15 г. № 38 (вступило в силу по истечении 30 календарных дней с даты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F50D5">
      <w:pPr>
        <w:ind w:firstLine="400"/>
        <w:jc w:val="both"/>
      </w:pPr>
      <w:hyperlink r:id="rId15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06.10.15 г. № 129 (вступило в силу по истечении 30 календарн</w:t>
      </w:r>
      <w:r>
        <w:rPr>
          <w:rStyle w:val="s0"/>
        </w:rPr>
        <w:t xml:space="preserve">ых дней с даты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F50D5">
      <w:pPr>
        <w:ind w:firstLine="397"/>
        <w:jc w:val="both"/>
      </w:pPr>
      <w:hyperlink r:id="rId1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14.11.17 г. № 148 (вст</w:t>
      </w:r>
      <w:r>
        <w:rPr>
          <w:rStyle w:val="s0"/>
        </w:rPr>
        <w:t xml:space="preserve">упило в силу по истечении 30 календарных дней с даты его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но не ранее даты вступления в силу </w:t>
      </w:r>
      <w:hyperlink r:id="rId19" w:history="1">
        <w:r>
          <w:rPr>
            <w:rStyle w:val="a4"/>
          </w:rPr>
          <w:t>Договора</w:t>
        </w:r>
      </w:hyperlink>
      <w:r>
        <w:rPr>
          <w:rStyle w:val="s0"/>
        </w:rPr>
        <w:t xml:space="preserve"> о Таможенном кодексе Евразийского экономического союза от 11 апреля 2017 года).</w:t>
      </w:r>
    </w:p>
    <w:p w:rsidR="00000000" w:rsidRDefault="006F50D5">
      <w:pPr>
        <w:ind w:firstLine="400"/>
        <w:jc w:val="both"/>
      </w:pPr>
      <w:r>
        <w:t> </w:t>
      </w:r>
    </w:p>
    <w:p w:rsidR="00000000" w:rsidRDefault="006F50D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F50D5">
      <w:pPr>
        <w:ind w:firstLine="400"/>
        <w:jc w:val="both"/>
      </w:pPr>
      <w:r>
        <w:rPr>
          <w:rStyle w:val="s0"/>
        </w:rPr>
        <w:t> </w:t>
      </w:r>
    </w:p>
    <w:p w:rsidR="00000000" w:rsidRDefault="006F50D5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21.01.14 г.</w:t>
      </w:r>
    </w:p>
    <w:p w:rsidR="00000000" w:rsidRDefault="006F50D5">
      <w:pPr>
        <w:ind w:firstLine="400"/>
        <w:jc w:val="both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18.07.14 г.</w:t>
      </w:r>
    </w:p>
    <w:p w:rsidR="00000000" w:rsidRDefault="006F50D5">
      <w:pPr>
        <w:ind w:firstLine="400"/>
        <w:jc w:val="both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27.04.15 г.</w:t>
      </w:r>
    </w:p>
    <w:p w:rsidR="00000000" w:rsidRDefault="006F50D5">
      <w:pPr>
        <w:ind w:firstLine="400"/>
        <w:jc w:val="both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06.10.15 г.</w:t>
      </w:r>
    </w:p>
    <w:p w:rsidR="00000000" w:rsidRDefault="006F50D5">
      <w:pPr>
        <w:ind w:firstLine="400"/>
        <w:jc w:val="both"/>
      </w:pPr>
      <w:hyperlink r:id="rId24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14.11.17 г.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50D5" w:rsidRDefault="006F50D5" w:rsidP="006F50D5">
      <w:r>
        <w:separator/>
      </w:r>
    </w:p>
  </w:endnote>
  <w:endnote w:type="continuationSeparator" w:id="0">
    <w:p w:rsidR="006F50D5" w:rsidRDefault="006F50D5" w:rsidP="006F50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0D5" w:rsidRDefault="006F50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0D5" w:rsidRDefault="006F50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0D5" w:rsidRDefault="006F50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50D5" w:rsidRDefault="006F50D5" w:rsidP="006F50D5">
      <w:r>
        <w:separator/>
      </w:r>
    </w:p>
  </w:footnote>
  <w:footnote w:type="continuationSeparator" w:id="0">
    <w:p w:rsidR="006F50D5" w:rsidRDefault="006F50D5" w:rsidP="006F50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0D5" w:rsidRDefault="006F50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0D5" w:rsidRDefault="006F50D5" w:rsidP="006F50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50D5" w:rsidRPr="006F50D5" w:rsidRDefault="006F50D5" w:rsidP="006F50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18 июня 2010 года № 287 «Об утверждении формы пассажирской таможенной декларации и порядка заполнения пассажирской таможенной декларации» (г. Санкт-Петербург) с изменениями и дополнениями по состоянию на 14.11.2017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0D5" w:rsidRDefault="006F50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50D5"/>
    <w:rsid w:val="006F5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50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50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50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50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50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50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50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50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73860" TargetMode="External"/><Relationship Id="rId13" Type="http://schemas.openxmlformats.org/officeDocument/2006/relationships/hyperlink" Target="http://online.zakon.kz/Document/?doc_id=39561959" TargetMode="External"/><Relationship Id="rId18" Type="http://schemas.openxmlformats.org/officeDocument/2006/relationships/hyperlink" Target="http://online.zakon.kz/Document/?doc_id=33867739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50648" TargetMode="External"/><Relationship Id="rId7" Type="http://schemas.openxmlformats.org/officeDocument/2006/relationships/hyperlink" Target="http://www.tsouz.ru/KTS/KTS17/Pages/default.aspx" TargetMode="External"/><Relationship Id="rId12" Type="http://schemas.openxmlformats.org/officeDocument/2006/relationships/hyperlink" Target="http://online.zakon.kz/Document/?doc_id=31580586" TargetMode="External"/><Relationship Id="rId17" Type="http://schemas.openxmlformats.org/officeDocument/2006/relationships/hyperlink" Target="http://online.zakon.kz/Document/?doc_id=34976898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750509" TargetMode="External"/><Relationship Id="rId20" Type="http://schemas.openxmlformats.org/officeDocument/2006/relationships/hyperlink" Target="http://online.zakon.kz/Document/?doc_id=31507953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0558" TargetMode="External"/><Relationship Id="rId24" Type="http://schemas.openxmlformats.org/officeDocument/2006/relationships/hyperlink" Target="http://online.zakon.kz/Document/?doc_id=39204062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893874" TargetMode="External"/><Relationship Id="rId23" Type="http://schemas.openxmlformats.org/officeDocument/2006/relationships/hyperlink" Target="http://online.zakon.kz/Document/?doc_id=35991794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1496703" TargetMode="External"/><Relationship Id="rId19" Type="http://schemas.openxmlformats.org/officeDocument/2006/relationships/hyperlink" Target="http://online.zakon.kz/Document/?doc_id=36794471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96696" TargetMode="External"/><Relationship Id="rId14" Type="http://schemas.openxmlformats.org/officeDocument/2006/relationships/hyperlink" Target="http://online.zakon.kz/Document/?doc_id=35305527" TargetMode="External"/><Relationship Id="rId22" Type="http://schemas.openxmlformats.org/officeDocument/2006/relationships/hyperlink" Target="http://online.zakon.kz/Document/?doc_id=31954036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245</Words>
  <Characters>2745</Characters>
  <Application>Microsoft Office Word</Application>
  <DocSecurity>0</DocSecurity>
  <Lines>22</Lines>
  <Paragraphs>5</Paragraphs>
  <ScaleCrop>false</ScaleCrop>
  <Company/>
  <LinksUpToDate>false</LinksUpToDate>
  <CharactersWithSpaces>2985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18 июня 2010 года № 287 «Об утверждении формы пассажирской таможенной декларации и порядка заполнения пассажирской таможенной декларации» (г. Санкт-Петербург) с изменениями и дополнениями по состоянию на 14.11.2017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2023-11-18T00:05:00Z</dcterms:created>
  <dcterms:modified xsi:type="dcterms:W3CDTF">2023-11-18T00:05:00Z</dcterms:modified>
</cp:coreProperties>
</file>