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6E32">
      <w:pPr>
        <w:jc w:val="center"/>
      </w:pPr>
      <w:bookmarkStart w:id="0" w:name="_GoBack"/>
      <w:bookmarkEnd w:id="0"/>
      <w:r>
        <w:rPr>
          <w:rStyle w:val="s1"/>
        </w:rPr>
        <w:t>Решение Комиссии Таможенного союза от 17 августа 2010 года № 348</w:t>
      </w:r>
      <w:r>
        <w:br/>
      </w:r>
      <w:r>
        <w:rPr>
          <w:rStyle w:val="s1"/>
        </w:rPr>
        <w:t>О корректировке ставок ввозных таможенных пошлин</w:t>
      </w:r>
      <w:r>
        <w:br/>
      </w:r>
      <w:r>
        <w:rPr>
          <w:rStyle w:val="s1"/>
        </w:rPr>
        <w:t>Единого таможенного тарифа Таможенного союза в отношении виноматериалов</w:t>
      </w:r>
      <w:r>
        <w:br/>
      </w:r>
      <w:r>
        <w:rPr>
          <w:rStyle w:val="s1"/>
        </w:rPr>
        <w:t>(г. Москва)</w:t>
      </w:r>
    </w:p>
    <w:p w:rsidR="00000000" w:rsidRDefault="00BA6E32">
      <w:pPr>
        <w:jc w:val="center"/>
      </w:pPr>
      <w:r>
        <w:rPr>
          <w:rStyle w:val="s1"/>
        </w:rPr>
        <w:t> </w:t>
      </w:r>
    </w:p>
    <w:p w:rsidR="00000000" w:rsidRDefault="00BA6E32">
      <w:pPr>
        <w:jc w:val="both"/>
      </w:pPr>
      <w:r>
        <w:rPr>
          <w:rStyle w:val="s3"/>
        </w:rPr>
        <w:t xml:space="preserve">Утратило силу с 1 января 2012 года в соответствии с </w:t>
      </w:r>
      <w:hyperlink r:id="rId7" w:anchor="sub_id=2" w:history="1">
        <w:r>
          <w:rPr>
            <w:rStyle w:val="a3"/>
            <w:i/>
            <w:iCs/>
            <w:bdr w:val="none" w:sz="0" w:space="0" w:color="auto" w:frame="1"/>
          </w:rPr>
          <w:t>Решением</w:t>
        </w:r>
      </w:hyperlink>
      <w:r>
        <w:rPr>
          <w:rStyle w:val="s3"/>
        </w:rPr>
        <w:t xml:space="preserve"> Комиссии Таможенного союза от 09.12.11 г. № 859</w:t>
      </w:r>
    </w:p>
    <w:p w:rsidR="00000000" w:rsidRDefault="00BA6E32">
      <w:pPr>
        <w:ind w:firstLine="400"/>
        <w:jc w:val="both"/>
      </w:pPr>
      <w:r>
        <w:rPr>
          <w:rStyle w:val="s0"/>
        </w:rPr>
        <w:t> </w:t>
      </w:r>
    </w:p>
    <w:p w:rsidR="00000000" w:rsidRDefault="00BA6E32">
      <w:pPr>
        <w:ind w:firstLine="400"/>
        <w:jc w:val="both"/>
      </w:pPr>
      <w:r>
        <w:rPr>
          <w:rStyle w:val="s0"/>
        </w:rPr>
        <w:t xml:space="preserve">Комиссия Таможенного союза </w:t>
      </w:r>
      <w:r>
        <w:rPr>
          <w:rStyle w:val="s0"/>
          <w:b/>
          <w:bCs/>
        </w:rPr>
        <w:t>решила</w:t>
      </w:r>
      <w:r>
        <w:rPr>
          <w:rStyle w:val="s0"/>
        </w:rPr>
        <w:t>:</w:t>
      </w:r>
    </w:p>
    <w:p w:rsidR="00000000" w:rsidRDefault="00BA6E32">
      <w:pPr>
        <w:ind w:firstLine="400"/>
        <w:jc w:val="both"/>
      </w:pPr>
      <w:r>
        <w:rPr>
          <w:rStyle w:val="s0"/>
        </w:rPr>
        <w:t xml:space="preserve">1. Внести в </w:t>
      </w:r>
      <w:hyperlink r:id="rId8" w:history="1">
        <w:r>
          <w:rPr>
            <w:rStyle w:val="a3"/>
          </w:rPr>
          <w:t>Единый</w:t>
        </w:r>
        <w:r>
          <w:rPr>
            <w:rStyle w:val="a3"/>
          </w:rPr>
          <w:t xml:space="preserve"> таможенный тариф</w:t>
        </w:r>
      </w:hyperlink>
      <w:r>
        <w:rPr>
          <w:rStyle w:val="s0"/>
        </w:rPr>
        <w:t xml:space="preserve"> Таможенного союза (приложение № 1 к Решению Комиссии Таможенного союза от 27 ноября 2009 г. № 130) следующие изменения:</w:t>
      </w:r>
    </w:p>
    <w:p w:rsidR="00000000" w:rsidRDefault="00BA6E32">
      <w:pPr>
        <w:ind w:firstLine="400"/>
        <w:jc w:val="both"/>
      </w:pPr>
      <w:r>
        <w:rPr>
          <w:rStyle w:val="s0"/>
        </w:rPr>
        <w:t>а) исключить из единой Товарной номенклатуры внешнеэкономической деятельности Таможенного союза подсубпозиции согласно</w:t>
      </w:r>
      <w:r>
        <w:rPr>
          <w:rStyle w:val="s0"/>
        </w:rPr>
        <w:t xml:space="preserve"> </w:t>
      </w:r>
      <w:hyperlink w:anchor="sub1" w:history="1">
        <w:r>
          <w:rPr>
            <w:rStyle w:val="a3"/>
          </w:rPr>
          <w:t>Приложению № 1</w:t>
        </w:r>
      </w:hyperlink>
      <w:r>
        <w:rPr>
          <w:rStyle w:val="s0"/>
        </w:rPr>
        <w:t>;</w:t>
      </w:r>
    </w:p>
    <w:p w:rsidR="00000000" w:rsidRDefault="00BA6E32">
      <w:pPr>
        <w:ind w:firstLine="400"/>
        <w:jc w:val="both"/>
      </w:pPr>
      <w:r>
        <w:rPr>
          <w:rStyle w:val="s0"/>
        </w:rPr>
        <w:t xml:space="preserve">б) включить в единую Товарную номенклатуру внешнеэкономической деятельности Таможенного союза подсубпозиции согласно </w:t>
      </w:r>
      <w:hyperlink w:anchor="sub2" w:history="1">
        <w:r>
          <w:rPr>
            <w:rStyle w:val="a3"/>
          </w:rPr>
          <w:t>Приложению № 2</w:t>
        </w:r>
      </w:hyperlink>
      <w:r>
        <w:rPr>
          <w:rStyle w:val="s0"/>
        </w:rPr>
        <w:t>;</w:t>
      </w:r>
    </w:p>
    <w:p w:rsidR="00000000" w:rsidRDefault="00BA6E32">
      <w:pPr>
        <w:ind w:firstLine="400"/>
        <w:jc w:val="both"/>
      </w:pPr>
      <w:r>
        <w:rPr>
          <w:rStyle w:val="s0"/>
        </w:rPr>
        <w:t>в) установить ставки ввозных таможенных пошлин Едино</w:t>
      </w:r>
      <w:r>
        <w:rPr>
          <w:rStyle w:val="s0"/>
        </w:rPr>
        <w:t xml:space="preserve">го таможенного тарифа Таможенного союза согласно </w:t>
      </w:r>
      <w:hyperlink w:anchor="sub3" w:history="1">
        <w:r>
          <w:rPr>
            <w:rStyle w:val="a3"/>
          </w:rPr>
          <w:t>Приложению № 3</w:t>
        </w:r>
      </w:hyperlink>
      <w:r>
        <w:rPr>
          <w:rStyle w:val="s0"/>
        </w:rPr>
        <w:t>.</w:t>
      </w:r>
    </w:p>
    <w:p w:rsidR="00000000" w:rsidRDefault="00BA6E32">
      <w:pPr>
        <w:ind w:firstLine="400"/>
        <w:jc w:val="both"/>
      </w:pPr>
      <w:r>
        <w:rPr>
          <w:rStyle w:val="s0"/>
        </w:rPr>
        <w:t xml:space="preserve">2. Настоящее Решение вступает в силу через 30 календарных дней после его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Комиссией Таможенного союза.</w:t>
      </w:r>
    </w:p>
    <w:p w:rsidR="00000000" w:rsidRDefault="00BA6E32">
      <w:pPr>
        <w:ind w:firstLine="400"/>
        <w:jc w:val="both"/>
      </w:pPr>
      <w:r>
        <w:rPr>
          <w:rStyle w:val="s0"/>
        </w:rPr>
        <w:t> </w:t>
      </w:r>
    </w:p>
    <w:p w:rsidR="00000000" w:rsidRDefault="00BA6E32">
      <w:pPr>
        <w:jc w:val="center"/>
      </w:pPr>
      <w:r>
        <w:rPr>
          <w:rStyle w:val="s0"/>
          <w:b/>
          <w:bCs/>
        </w:rPr>
        <w:t> </w:t>
      </w:r>
    </w:p>
    <w:p w:rsidR="00000000" w:rsidRDefault="00BA6E32">
      <w:pPr>
        <w:jc w:val="center"/>
      </w:pPr>
      <w:r>
        <w:rPr>
          <w:rStyle w:val="s0"/>
          <w:b/>
          <w:bCs/>
        </w:rPr>
        <w:t>Члены Комиссии Таможенного союза:</w:t>
      </w:r>
    </w:p>
    <w:p w:rsidR="00000000" w:rsidRDefault="00BA6E32">
      <w:pPr>
        <w:jc w:val="center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2"/>
        <w:gridCol w:w="3190"/>
        <w:gridCol w:w="3189"/>
      </w:tblGrid>
      <w:tr w:rsidR="00000000">
        <w:tc>
          <w:tcPr>
            <w:tcW w:w="161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BA6E32">
            <w:pPr>
              <w:jc w:val="center"/>
            </w:pPr>
            <w:r>
              <w:rPr>
                <w:rStyle w:val="s0"/>
                <w:b/>
                <w:bCs/>
              </w:rPr>
              <w:t>Беларусь</w:t>
            </w:r>
          </w:p>
        </w:tc>
        <w:tc>
          <w:tcPr>
            <w:tcW w:w="161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BA6E32">
            <w:pPr>
              <w:jc w:val="center"/>
            </w:pPr>
            <w:r>
              <w:rPr>
                <w:rStyle w:val="s0"/>
                <w:b/>
                <w:bCs/>
              </w:rPr>
              <w:t>Казахстан</w:t>
            </w:r>
          </w:p>
        </w:tc>
        <w:tc>
          <w:tcPr>
            <w:tcW w:w="161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  <w:b/>
                <w:bCs/>
              </w:rPr>
              <w:t>От Российской</w:t>
            </w:r>
          </w:p>
          <w:p w:rsidR="00000000" w:rsidRDefault="00BA6E32">
            <w:pPr>
              <w:jc w:val="center"/>
            </w:pPr>
            <w:r>
              <w:rPr>
                <w:rStyle w:val="s0"/>
                <w:b/>
                <w:bCs/>
              </w:rPr>
              <w:t>Федерации</w:t>
            </w:r>
          </w:p>
        </w:tc>
      </w:tr>
      <w:tr w:rsidR="00000000">
        <w:tc>
          <w:tcPr>
            <w:tcW w:w="161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A6E32">
            <w:pPr>
              <w:jc w:val="center"/>
            </w:pPr>
            <w:r>
              <w:rPr>
                <w:rStyle w:val="s0"/>
                <w:b/>
                <w:bCs/>
              </w:rPr>
              <w:t>А. Кобяков</w:t>
            </w:r>
          </w:p>
        </w:tc>
        <w:tc>
          <w:tcPr>
            <w:tcW w:w="161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A6E32">
            <w:pPr>
              <w:jc w:val="center"/>
            </w:pPr>
            <w:r>
              <w:rPr>
                <w:rStyle w:val="s0"/>
                <w:b/>
                <w:bCs/>
              </w:rPr>
              <w:t>У. Шукеев</w:t>
            </w:r>
          </w:p>
        </w:tc>
        <w:tc>
          <w:tcPr>
            <w:tcW w:w="161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A6E32">
            <w:pPr>
              <w:jc w:val="center"/>
            </w:pPr>
            <w:r>
              <w:rPr>
                <w:rStyle w:val="s0"/>
                <w:b/>
                <w:bCs/>
              </w:rPr>
              <w:t>И. Шувалов</w:t>
            </w:r>
          </w:p>
        </w:tc>
      </w:tr>
    </w:tbl>
    <w:p w:rsidR="00000000" w:rsidRDefault="00BA6E32">
      <w:pPr>
        <w:spacing w:line="360" w:lineRule="auto"/>
        <w:ind w:firstLine="708"/>
        <w:jc w:val="both"/>
      </w:pPr>
      <w:r>
        <w:t> </w:t>
      </w:r>
    </w:p>
    <w:p w:rsidR="00000000" w:rsidRDefault="00BA6E32">
      <w:pPr>
        <w:jc w:val="right"/>
      </w:pPr>
      <w:bookmarkStart w:id="1" w:name="SUB1"/>
      <w:bookmarkEnd w:id="1"/>
      <w:r>
        <w:rPr>
          <w:rStyle w:val="s0"/>
        </w:rPr>
        <w:t>Приложение 1</w:t>
      </w:r>
    </w:p>
    <w:p w:rsidR="00000000" w:rsidRDefault="00BA6E32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Решению</w:t>
        </w:r>
      </w:hyperlink>
      <w:r>
        <w:rPr>
          <w:rStyle w:val="s0"/>
        </w:rPr>
        <w:t xml:space="preserve"> Комиссии</w:t>
      </w:r>
    </w:p>
    <w:p w:rsidR="00000000" w:rsidRDefault="00BA6E32">
      <w:pPr>
        <w:jc w:val="right"/>
      </w:pPr>
      <w:r>
        <w:rPr>
          <w:rStyle w:val="s0"/>
        </w:rPr>
        <w:t>Таможенного союза</w:t>
      </w:r>
    </w:p>
    <w:p w:rsidR="00000000" w:rsidRDefault="00BA6E32">
      <w:pPr>
        <w:jc w:val="right"/>
      </w:pPr>
      <w:r>
        <w:rPr>
          <w:rStyle w:val="s0"/>
        </w:rPr>
        <w:t>от 17 августа 2010 г. № 348</w:t>
      </w:r>
    </w:p>
    <w:p w:rsidR="00000000" w:rsidRDefault="00BA6E32">
      <w:pPr>
        <w:jc w:val="center"/>
      </w:pPr>
      <w:r>
        <w:rPr>
          <w:rStyle w:val="s1"/>
        </w:rPr>
        <w:t> </w:t>
      </w:r>
    </w:p>
    <w:p w:rsidR="00000000" w:rsidRDefault="00BA6E32">
      <w:pPr>
        <w:jc w:val="center"/>
      </w:pPr>
      <w:r>
        <w:rPr>
          <w:rStyle w:val="s1"/>
        </w:rPr>
        <w:t> </w:t>
      </w:r>
    </w:p>
    <w:p w:rsidR="00000000" w:rsidRDefault="00BA6E32">
      <w:pPr>
        <w:jc w:val="center"/>
      </w:pPr>
      <w:r>
        <w:rPr>
          <w:rStyle w:val="s1"/>
        </w:rPr>
        <w:t xml:space="preserve">Подсубпозиции, исключаемые из единой Товарной номенклатуры </w:t>
      </w:r>
    </w:p>
    <w:p w:rsidR="00000000" w:rsidRDefault="00BA6E32">
      <w:pPr>
        <w:jc w:val="center"/>
      </w:pPr>
      <w:r>
        <w:rPr>
          <w:rStyle w:val="s1"/>
        </w:rPr>
        <w:t>внешнеэкономической деятельности Таможенного союза</w:t>
      </w:r>
    </w:p>
    <w:p w:rsidR="00000000" w:rsidRDefault="00BA6E3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0"/>
        <w:gridCol w:w="6089"/>
        <w:gridCol w:w="1642"/>
      </w:tblGrid>
      <w:tr w:rsidR="00000000">
        <w:trPr>
          <w:trHeight w:val="454"/>
        </w:trPr>
        <w:tc>
          <w:tcPr>
            <w:tcW w:w="96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 xml:space="preserve">Код </w:t>
            </w:r>
            <w:hyperlink r:id="rId10" w:anchor="sub_id=220000" w:history="1">
              <w:r>
                <w:rPr>
                  <w:rStyle w:val="a3"/>
                </w:rPr>
                <w:t>ТН</w:t>
              </w:r>
              <w:r>
                <w:rPr>
                  <w:rStyle w:val="a3"/>
                </w:rPr>
                <w:t xml:space="preserve"> ВЭД</w:t>
              </w:r>
            </w:hyperlink>
          </w:p>
        </w:tc>
        <w:tc>
          <w:tcPr>
            <w:tcW w:w="31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Наименование позиции</w:t>
            </w:r>
          </w:p>
        </w:tc>
        <w:tc>
          <w:tcPr>
            <w:tcW w:w="8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Доп. ед. изм.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2204 29 110 0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Токай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2204 29 120 0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Бордо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2204 29 130 0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Бургундия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2204 29 170 0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Валь де Луар (Долина Луары)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2204 29 180 0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прочие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2204 29 420 0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Бордо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2204 29 430 0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Бургундия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2204 29 440 0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Божоле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2204 29 460 0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Кот-дю-Рон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2204 29 470 0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Лангедок-Руссильон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2204 29 480 0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Валь де Луар (Долина Луары)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2204 29 580 0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прочие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2204 29 620 0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 xml:space="preserve">- - - - - - - Сицилия 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2204 29 640 0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 xml:space="preserve">- - - - - - - Венето 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2204 29 650 0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прочие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2204 29 710 0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 xml:space="preserve">- - - - - - - Пуглия 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2204 29 720 0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 xml:space="preserve">- - - - - - - Сицилия 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2204 29 750 0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прочие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2204 29 770 0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Токай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2204 29 780 0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прочие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2204 29 820 0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прочие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2204 29 830 0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белые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2204 29 840 0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прочие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2204 29 870 0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марсала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2204 29 880 0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Самос (Samos) и Мускат де Лемнос (Muscat de Lemnos)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2204 29 890 0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портвейн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2204 29 910 0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мадера и Мускатель сетюбал (Setubal muscatel)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2204 29 920 0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херес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2204 29 940 0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прочие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2204 29 950 0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портвейн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2204 29 960 0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мадера, херес и Мускатель сетюбал (Setubal muscatel)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2204 29 980 0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прочие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9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2204 29 990 0</w:t>
            </w:r>
          </w:p>
        </w:tc>
        <w:tc>
          <w:tcPr>
            <w:tcW w:w="3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с фактической концентрацией спирта более 22 об.%</w:t>
            </w:r>
          </w:p>
        </w:tc>
        <w:tc>
          <w:tcPr>
            <w:tcW w:w="8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</w:tbl>
    <w:p w:rsidR="00000000" w:rsidRDefault="00BA6E32">
      <w:r>
        <w:t> </w:t>
      </w:r>
    </w:p>
    <w:p w:rsidR="00000000" w:rsidRDefault="00BA6E32">
      <w:pPr>
        <w:jc w:val="right"/>
      </w:pPr>
      <w:bookmarkStart w:id="2" w:name="SUB2"/>
      <w:bookmarkEnd w:id="2"/>
      <w:r>
        <w:rPr>
          <w:rStyle w:val="s0"/>
        </w:rPr>
        <w:t>Приложение 2</w:t>
      </w:r>
    </w:p>
    <w:p w:rsidR="00000000" w:rsidRDefault="00BA6E32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Решению</w:t>
        </w:r>
      </w:hyperlink>
      <w:r>
        <w:rPr>
          <w:rStyle w:val="s0"/>
        </w:rPr>
        <w:t xml:space="preserve"> Комиссии</w:t>
      </w:r>
    </w:p>
    <w:p w:rsidR="00000000" w:rsidRDefault="00BA6E32">
      <w:pPr>
        <w:jc w:val="right"/>
      </w:pPr>
      <w:r>
        <w:rPr>
          <w:rStyle w:val="s0"/>
        </w:rPr>
        <w:t>Таможенного союза</w:t>
      </w:r>
    </w:p>
    <w:p w:rsidR="00000000" w:rsidRDefault="00BA6E32">
      <w:pPr>
        <w:jc w:val="right"/>
      </w:pPr>
      <w:r>
        <w:rPr>
          <w:rStyle w:val="s0"/>
        </w:rPr>
        <w:t>от 17 августа 2010 г. № 348</w:t>
      </w:r>
    </w:p>
    <w:p w:rsidR="00000000" w:rsidRDefault="00BA6E32">
      <w:pPr>
        <w:jc w:val="center"/>
      </w:pPr>
      <w:r>
        <w:rPr>
          <w:rStyle w:val="s1"/>
        </w:rPr>
        <w:t> </w:t>
      </w:r>
    </w:p>
    <w:p w:rsidR="00000000" w:rsidRDefault="00BA6E32">
      <w:pPr>
        <w:jc w:val="center"/>
      </w:pPr>
      <w:r>
        <w:rPr>
          <w:rStyle w:val="s1"/>
        </w:rPr>
        <w:t> </w:t>
      </w:r>
    </w:p>
    <w:p w:rsidR="00000000" w:rsidRDefault="00BA6E32">
      <w:pPr>
        <w:jc w:val="center"/>
      </w:pPr>
      <w:r>
        <w:rPr>
          <w:rStyle w:val="s1"/>
        </w:rPr>
        <w:t>Подсубпозиции, включаемые в единую Товарную номенклатуру</w:t>
      </w:r>
    </w:p>
    <w:p w:rsidR="00000000" w:rsidRDefault="00BA6E32">
      <w:pPr>
        <w:jc w:val="center"/>
      </w:pPr>
      <w:r>
        <w:rPr>
          <w:rStyle w:val="s1"/>
        </w:rPr>
        <w:t>внешнеэкономической деятельности Таможенного союза</w:t>
      </w:r>
    </w:p>
    <w:p w:rsidR="00000000" w:rsidRDefault="00BA6E3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7"/>
        <w:gridCol w:w="5865"/>
        <w:gridCol w:w="1629"/>
      </w:tblGrid>
      <w:tr w:rsidR="00000000">
        <w:trPr>
          <w:trHeight w:val="454"/>
        </w:trPr>
        <w:tc>
          <w:tcPr>
            <w:tcW w:w="108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 xml:space="preserve">Код </w:t>
            </w:r>
            <w:hyperlink r:id="rId11" w:anchor="sub_id=220000" w:history="1">
              <w:r>
                <w:rPr>
                  <w:rStyle w:val="a3"/>
                </w:rPr>
                <w:t>ТН ВЭД</w:t>
              </w:r>
            </w:hyperlink>
          </w:p>
        </w:tc>
        <w:tc>
          <w:tcPr>
            <w:tcW w:w="306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Наименование позиции</w:t>
            </w:r>
          </w:p>
        </w:tc>
        <w:tc>
          <w:tcPr>
            <w:tcW w:w="8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Доп. ед. изм.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 xml:space="preserve">2204 29 110 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Токай: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2204 29 110 1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2204 29 110 9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прочее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2204 29 120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Бордо: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2204 29 120 1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2204 29 120 9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прочее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2204 29 130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Бургундия: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2204 29 130 1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2204 29 130 9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прочее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2204 29 170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Валь де Луар (Долина Луары):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2204 29 170 1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2204 29 170 9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прочее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2204 29 180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прочие: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2204 29 180 1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2204 29 180 9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прочие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2204 29 420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Бордо: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2204 29 420 1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2204 29 420 9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прочее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2204 29 430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Бургундия: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2204 29 430 1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2204 29 430 9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прочее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2204 29 440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Божоле: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2204 29 440 1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2204 29 440 9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прочее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2204 29 460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Кот-дю-Рон: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2204 29 460 1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2204 29 460 9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прочее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2204 29 470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Лангедок-Руссильон: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2204 29 470 1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2204 29 470 9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прочее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2204 29 480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Валь де Луар (Долина Луары):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2204 29 480 1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2204 29 480 9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прочее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2204 29 580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прочие: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2204 29 580 1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2204 29 580 9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прочие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2204 29 620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 xml:space="preserve">- - - - - - - Сицилия: 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2204 29 620 1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2204 29 620 9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прочее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2204 29 640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 xml:space="preserve">- - - - - - - Венето: 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2204 29 640 1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2204 29 640 9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прочее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2204 29 650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прочие: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2204 29 650 1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2204 29 650 9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прочие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2204 29 710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 xml:space="preserve">- - - - - - - Пуглия: 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2204 29 710 1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2204 29 710 9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прочее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2204 29 720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 xml:space="preserve">- - - - - - - Сицилия: 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2204 29 720 1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2204 29 720 9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прочее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2204 29 750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прочие: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 xml:space="preserve">2204 29 750 1 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2204 29 750 9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прочие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2204 29 770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Токай: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2204 29 770 1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2204 29 770 9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прочее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2204 29 780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прочие: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2204 29 780 1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2204 29 780 9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- прочие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2204 29 820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прочие: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2204 29 820 1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2204 29 820 9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прочие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2204 29 830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белые: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2204 29 830 1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2204 29 830 9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прочие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2204 29 840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прочие: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2204 29 840 1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2204 29 840 9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- прочие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2204 29 870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марсала: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2204 29 870 1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2204 29 870 9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прочее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2204 29 880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Самос (Samos) и Мускат де Лемнос (Muscat de Lemnos):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2204 29 880 1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2204 29 880 9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прочие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2204 29 890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портвейн: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2204 29 890 1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2204 29 890 9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прочий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2204 29 910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мадера и Мускатель сетюбал (Setubal muscatel):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2204 29 910 1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2204 29 910 9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прочие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2204 29 920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херес: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2204 29 920 1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2204 29 920 9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прочий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2204 29 940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прочие: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2204 29 940 1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2204 29 940 9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прочие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2204 29 950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портвейн: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2204 29 950 1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2204 29 950 9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прочий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2204 29 960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мадера, херес и Мускатель сетюбал (Setubal muscatel):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2204 29 960 1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2204 29 960 9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прочие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2204 29 980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прочие: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2204 29 980 1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2204 29 980 9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- прочие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2204 29 990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с фактической концентрацией спирта более 22 об.%: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2204 29 990 1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в таре вместимостью 227 л или более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  <w:tr w:rsidR="00000000">
        <w:trPr>
          <w:trHeight w:val="454"/>
        </w:trPr>
        <w:tc>
          <w:tcPr>
            <w:tcW w:w="10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2204 29 990 9</w:t>
            </w:r>
          </w:p>
        </w:tc>
        <w:tc>
          <w:tcPr>
            <w:tcW w:w="30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 - - - - прочие</w:t>
            </w:r>
          </w:p>
        </w:tc>
        <w:tc>
          <w:tcPr>
            <w:tcW w:w="8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л</w:t>
            </w:r>
          </w:p>
        </w:tc>
      </w:tr>
    </w:tbl>
    <w:p w:rsidR="00000000" w:rsidRDefault="00BA6E32">
      <w:pPr>
        <w:jc w:val="right"/>
      </w:pPr>
      <w:r>
        <w:rPr>
          <w:rStyle w:val="s0"/>
        </w:rPr>
        <w:t> </w:t>
      </w:r>
    </w:p>
    <w:p w:rsidR="00000000" w:rsidRDefault="00BA6E32">
      <w:pPr>
        <w:jc w:val="right"/>
      </w:pPr>
      <w:bookmarkStart w:id="3" w:name="SUB3"/>
      <w:bookmarkEnd w:id="3"/>
      <w:r>
        <w:rPr>
          <w:rStyle w:val="s0"/>
        </w:rPr>
        <w:t>Приложение 3</w:t>
      </w:r>
    </w:p>
    <w:p w:rsidR="00000000" w:rsidRDefault="00BA6E32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Решению</w:t>
        </w:r>
      </w:hyperlink>
      <w:r>
        <w:rPr>
          <w:rStyle w:val="s0"/>
        </w:rPr>
        <w:t xml:space="preserve"> Комиссии</w:t>
      </w:r>
    </w:p>
    <w:p w:rsidR="00000000" w:rsidRDefault="00BA6E32">
      <w:pPr>
        <w:jc w:val="right"/>
      </w:pPr>
      <w:r>
        <w:rPr>
          <w:rStyle w:val="s0"/>
        </w:rPr>
        <w:t>Таможенного союза</w:t>
      </w:r>
    </w:p>
    <w:p w:rsidR="00000000" w:rsidRDefault="00BA6E32">
      <w:pPr>
        <w:jc w:val="right"/>
      </w:pPr>
      <w:r>
        <w:rPr>
          <w:rStyle w:val="s0"/>
        </w:rPr>
        <w:t>от 17 августа 2010 г. № 348</w:t>
      </w:r>
    </w:p>
    <w:p w:rsidR="00000000" w:rsidRDefault="00BA6E32">
      <w:pPr>
        <w:jc w:val="center"/>
      </w:pPr>
      <w:r>
        <w:rPr>
          <w:rStyle w:val="s1"/>
        </w:rPr>
        <w:t> </w:t>
      </w:r>
    </w:p>
    <w:p w:rsidR="00000000" w:rsidRDefault="00BA6E32">
      <w:pPr>
        <w:jc w:val="center"/>
      </w:pPr>
      <w:r>
        <w:rPr>
          <w:rStyle w:val="s1"/>
        </w:rPr>
        <w:t> </w:t>
      </w:r>
    </w:p>
    <w:p w:rsidR="00000000" w:rsidRDefault="00BA6E32">
      <w:pPr>
        <w:jc w:val="center"/>
      </w:pPr>
      <w:r>
        <w:rPr>
          <w:rStyle w:val="s1"/>
        </w:rPr>
        <w:t>Ставки ввозных таможенных пошлин</w:t>
      </w:r>
    </w:p>
    <w:p w:rsidR="00000000" w:rsidRDefault="00BA6E3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27"/>
        <w:gridCol w:w="4751"/>
        <w:gridCol w:w="2793"/>
      </w:tblGrid>
      <w:tr w:rsidR="00000000">
        <w:trPr>
          <w:trHeight w:val="454"/>
        </w:trPr>
        <w:tc>
          <w:tcPr>
            <w:tcW w:w="105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 xml:space="preserve">Код </w:t>
            </w:r>
            <w:hyperlink r:id="rId12" w:anchor="sub_id=220000" w:history="1">
              <w:r>
                <w:rPr>
                  <w:rStyle w:val="a3"/>
                </w:rPr>
                <w:t>ТН ВЭД</w:t>
              </w:r>
            </w:hyperlink>
          </w:p>
        </w:tc>
        <w:tc>
          <w:tcPr>
            <w:tcW w:w="24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Наименование позиции</w:t>
            </w:r>
          </w:p>
        </w:tc>
        <w:tc>
          <w:tcPr>
            <w:tcW w:w="14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Ставка ввозной таможенной пошлины</w:t>
            </w:r>
          </w:p>
          <w:p w:rsidR="00000000" w:rsidRDefault="00BA6E32">
            <w:pPr>
              <w:jc w:val="center"/>
            </w:pPr>
            <w:r>
              <w:rPr>
                <w:rStyle w:val="s0"/>
              </w:rPr>
              <w:t>(в процентах от таможенной стоимости либо в евро, либо в долларах США)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2204 29 110 1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2204 29 110 9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прочее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2204 29 120 1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</w:t>
            </w:r>
            <w:r>
              <w:rPr>
                <w:rStyle w:val="s0"/>
              </w:rPr>
              <w:t>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2204 29 120 9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прочее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2204 29 130 1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2204 29 130 9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прочее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2204 29 170 1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</w:t>
            </w:r>
            <w:r>
              <w:rPr>
                <w:rStyle w:val="s0"/>
              </w:rPr>
              <w:t>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2204 29 170 9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прочее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2204 29 180 1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2204 29 180 9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прочие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2204 29 420 1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</w:t>
            </w:r>
            <w:r>
              <w:rPr>
                <w:rStyle w:val="s0"/>
              </w:rPr>
              <w:t>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2204 29 420 9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прочее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2204 29 430 1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2204 29 430 9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прочее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2204 29 440 1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</w:t>
            </w:r>
            <w:r>
              <w:rPr>
                <w:rStyle w:val="s0"/>
              </w:rPr>
              <w:t>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2204 29 440 9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прочее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2204 29 460 1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2204 29 460 9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прочее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2204 29 470 1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</w:t>
            </w:r>
            <w:r>
              <w:rPr>
                <w:rStyle w:val="s0"/>
              </w:rPr>
              <w:t>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2204 29 470 9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прочее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2204 29 480 1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2204 29 480 9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прочее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2204 29 580 1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</w:t>
            </w:r>
            <w:r>
              <w:rPr>
                <w:rStyle w:val="s0"/>
              </w:rPr>
              <w:t>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2204 29 580 9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прочие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2204 29 620 1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2204 29 620 9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прочее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2204 29 640 1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</w:t>
            </w:r>
            <w:r>
              <w:rPr>
                <w:rStyle w:val="s0"/>
              </w:rPr>
              <w:t>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2204 29 640 9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прочее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2204 29 650 1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2204 29 650 9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прочие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2204 29 710 1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</w:t>
            </w:r>
            <w:r>
              <w:rPr>
                <w:rStyle w:val="s0"/>
              </w:rPr>
              <w:t>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2204 29 710 9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прочее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2204 29 720 1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2204 29 720 9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прочее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 xml:space="preserve">2204 29 750 1 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</w:t>
            </w:r>
            <w:r>
              <w:rPr>
                <w:rStyle w:val="s0"/>
              </w:rPr>
              <w:t>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2204 29 750 9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прочие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2204 29 770 1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2204 29 770 9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прочее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2204 29 780 1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 </w:t>
            </w:r>
            <w:r>
              <w:rPr>
                <w:rStyle w:val="s0"/>
              </w:rPr>
              <w:t>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2204 29 780 9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- прочие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2204 29 820 1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2204 29 820 9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прочие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2204 29 830 1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</w:t>
            </w:r>
            <w:r>
              <w:rPr>
                <w:rStyle w:val="s0"/>
              </w:rPr>
              <w:t>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2204 29 830 9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прочие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2204 29 840 1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2204 29 840 9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- прочие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2204 29 870 1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</w:t>
            </w:r>
            <w:r>
              <w:rPr>
                <w:rStyle w:val="s0"/>
              </w:rPr>
              <w:t>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2204 29 870 9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прочее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2204 29 880 1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2204 29 880 9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прочие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2204 29 890 1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</w:t>
            </w:r>
            <w:r>
              <w:rPr>
                <w:rStyle w:val="s0"/>
              </w:rPr>
              <w:t>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2204 29 890 9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прочий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2204 29 910 1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2204 29 910 9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прочие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2204 29 920 1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</w:t>
            </w:r>
            <w:r>
              <w:rPr>
                <w:rStyle w:val="s0"/>
              </w:rPr>
              <w:t>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2204 29 920 9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прочий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2204 29 940 1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2204 29 940 9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прочие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2204 29 950 1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</w:t>
            </w:r>
            <w:r>
              <w:rPr>
                <w:rStyle w:val="s0"/>
              </w:rPr>
              <w:t>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2204 29 950 9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прочий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2204 29 960 1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2204 29 960 9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прочие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2204 29 980 1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</w:t>
            </w:r>
            <w:r>
              <w:rPr>
                <w:rStyle w:val="s0"/>
              </w:rPr>
              <w:t>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2204 29 980 9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- прочие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2204 29 990 1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в таре вместимостью 227 л или более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2204 29 990 9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- прочие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rPr>
          <w:trHeight w:val="454"/>
        </w:trPr>
        <w:tc>
          <w:tcPr>
            <w:tcW w:w="10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2204 30 980 0</w:t>
            </w:r>
          </w:p>
        </w:tc>
        <w:tc>
          <w:tcPr>
            <w:tcW w:w="2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r>
              <w:rPr>
                <w:rStyle w:val="s0"/>
              </w:rPr>
              <w:t>- - - - прочие</w:t>
            </w:r>
          </w:p>
        </w:tc>
        <w:tc>
          <w:tcPr>
            <w:tcW w:w="1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A6E32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</w:tbl>
    <w:p w:rsidR="00000000" w:rsidRDefault="00BA6E32"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6E32" w:rsidRDefault="00BA6E32" w:rsidP="00BA6E32">
      <w:r>
        <w:separator/>
      </w:r>
    </w:p>
  </w:endnote>
  <w:endnote w:type="continuationSeparator" w:id="0">
    <w:p w:rsidR="00BA6E32" w:rsidRDefault="00BA6E32" w:rsidP="00BA6E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E32" w:rsidRDefault="00BA6E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E32" w:rsidRDefault="00BA6E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E32" w:rsidRDefault="00BA6E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6E32" w:rsidRDefault="00BA6E32" w:rsidP="00BA6E32">
      <w:r>
        <w:separator/>
      </w:r>
    </w:p>
  </w:footnote>
  <w:footnote w:type="continuationSeparator" w:id="0">
    <w:p w:rsidR="00BA6E32" w:rsidRDefault="00BA6E32" w:rsidP="00BA6E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E32" w:rsidRDefault="00BA6E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E32" w:rsidRDefault="00BA6E32" w:rsidP="00BA6E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6E32" w:rsidRDefault="00BA6E32" w:rsidP="00BA6E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17 августа 2010 года № 348 «О корректировке ставок ввозных таможенных пошлин Единого таможенного тарифа Таможенного союза в отношении виноматериалов» (г. Москва) (утратило силу)</w:t>
    </w:r>
  </w:p>
  <w:p w:rsidR="00BA6E32" w:rsidRPr="00BA6E32" w:rsidRDefault="00BA6E32" w:rsidP="00BA6E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05.01.2012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E32" w:rsidRDefault="00BA6E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6E32"/>
    <w:rsid w:val="00BA6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6E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6E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6E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6E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6E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6E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6E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6E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2886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93853" TargetMode="External"/><Relationship Id="rId12" Type="http://schemas.openxmlformats.org/officeDocument/2006/relationships/hyperlink" Target="http://online.zakon.kz/Document/?doc_id=3053228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3228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53228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0643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3227</Words>
  <Characters>9272</Characters>
  <Application>Microsoft Office Word</Application>
  <DocSecurity>0</DocSecurity>
  <Lines>77</Lines>
  <Paragraphs>24</Paragraphs>
  <ScaleCrop>false</ScaleCrop>
  <Company>SPecialiST RePack</Company>
  <LinksUpToDate>false</LinksUpToDate>
  <CharactersWithSpaces>12475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17 августа 2010 года № 348 «О корректировке ставок ввозных таможенных пошлин Единого таможенного тарифа Таможенного союза в отношении виноматериалов» (г. Москва)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2024-04-05T13:04:00Z</dcterms:created>
  <dcterms:modified xsi:type="dcterms:W3CDTF">2024-04-05T13:04:00Z</dcterms:modified>
</cp:coreProperties>
</file>