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000000" w:rsidRDefault="00DF6336">
      <w:pPr>
        <w:pStyle w:val="pj"/>
      </w:pPr>
      <w:bookmarkStart w:id="0" w:name="_GoBack"/>
      <w:bookmarkEnd w:id="0"/>
      <w:r>
        <w:rPr>
          <w:rStyle w:val="s0"/>
          <w:b/>
          <w:bCs/>
        </w:rPr>
        <w:t>ГОСТ 8448-78 «Бензол каменноугольный и сланцевый. Технические условия» (изм. 1 - 3) (утратил силу)</w:t>
      </w:r>
    </w:p>
    <w:p w:rsidR="00000000" w:rsidRDefault="00DF6336">
      <w:pPr>
        <w:pStyle w:val="pj"/>
      </w:pPr>
      <w:r>
        <w:rPr>
          <w:b/>
          <w:bCs/>
        </w:rPr>
        <w:t> </w:t>
      </w:r>
    </w:p>
    <w:p w:rsidR="00000000" w:rsidRDefault="00DF6336">
      <w:pPr>
        <w:pStyle w:val="pr"/>
      </w:pPr>
      <w:r>
        <w:rPr>
          <w:b/>
          <w:bCs/>
          <w:color w:val="41495A"/>
        </w:rPr>
        <w:t xml:space="preserve">Дата введения </w:t>
      </w:r>
      <w:r>
        <w:rPr>
          <w:b/>
          <w:bCs/>
          <w:color w:val="41495A"/>
          <w:u w:val="single"/>
        </w:rPr>
        <w:t>01.01.80</w:t>
      </w:r>
    </w:p>
    <w:p w:rsidR="00000000" w:rsidRDefault="00DF6336">
      <w:pPr>
        <w:pStyle w:val="pj"/>
      </w:pPr>
      <w:r>
        <w:t> </w:t>
      </w:r>
    </w:p>
    <w:p w:rsidR="00000000" w:rsidRDefault="00DF6336">
      <w:pPr>
        <w:pStyle w:val="pc"/>
      </w:pPr>
      <w:r>
        <w:rPr>
          <w:rStyle w:val="s1"/>
        </w:rPr>
        <w:t>ИНФОРМАЦИОННЫЕ ДАННЫЕ</w:t>
      </w:r>
    </w:p>
    <w:p w:rsidR="00000000" w:rsidRDefault="00DF6336">
      <w:pPr>
        <w:pStyle w:val="pc"/>
      </w:pPr>
      <w:r>
        <w:rPr>
          <w:rStyle w:val="s1"/>
        </w:rPr>
        <w:t> </w:t>
      </w:r>
    </w:p>
    <w:p w:rsidR="00000000" w:rsidRDefault="00DF6336">
      <w:pPr>
        <w:pStyle w:val="pj"/>
      </w:pPr>
      <w:r>
        <w:rPr>
          <w:rStyle w:val="s0"/>
        </w:rPr>
        <w:t>1. РАЗРАБОТАН И ВНЕСЕН Министерством черной металлургии СССР</w:t>
      </w:r>
    </w:p>
    <w:p w:rsidR="00000000" w:rsidRDefault="00DF6336">
      <w:pPr>
        <w:pStyle w:val="pj"/>
      </w:pPr>
      <w:r>
        <w:rPr>
          <w:rStyle w:val="s0"/>
        </w:rPr>
        <w:t>РАЗРАБОТЧИКИ</w:t>
      </w:r>
    </w:p>
    <w:p w:rsidR="00000000" w:rsidRDefault="00DF6336">
      <w:pPr>
        <w:pStyle w:val="pj"/>
      </w:pPr>
      <w:r>
        <w:rPr>
          <w:rStyle w:val="s0"/>
        </w:rPr>
        <w:t>Л.М. Харькина, Л.С. Локшина, В.И. Шустиков, А.И. Сморода, В.Н. Черныш</w:t>
      </w:r>
    </w:p>
    <w:p w:rsidR="00000000" w:rsidRDefault="00DF6336">
      <w:pPr>
        <w:pStyle w:val="pj"/>
      </w:pPr>
      <w:r>
        <w:rPr>
          <w:rStyle w:val="s0"/>
        </w:rPr>
        <w:t>2. УТВЕРЖДЕН И ВВЕДЕН В ДЕЙСТВИЕ Постановлением Государственного комитета СССР по стандартам от 24.07.78 № 1970</w:t>
      </w:r>
    </w:p>
    <w:p w:rsidR="00000000" w:rsidRDefault="00DF6336">
      <w:pPr>
        <w:pStyle w:val="pj"/>
      </w:pPr>
      <w:r>
        <w:rPr>
          <w:rStyle w:val="s0"/>
        </w:rPr>
        <w:t>3. Срок проверки - 1997 г., периодичность проверки - 5 лет</w:t>
      </w:r>
    </w:p>
    <w:p w:rsidR="00000000" w:rsidRDefault="00DF6336">
      <w:pPr>
        <w:pStyle w:val="pj"/>
      </w:pPr>
      <w:r>
        <w:rPr>
          <w:rStyle w:val="s0"/>
        </w:rPr>
        <w:t xml:space="preserve">4. ВЗАМЕН ГОСТ </w:t>
      </w:r>
      <w:r>
        <w:rPr>
          <w:rStyle w:val="s0"/>
        </w:rPr>
        <w:t>8448-61 и ГОСТ 5.1046-71</w:t>
      </w:r>
    </w:p>
    <w:p w:rsidR="00000000" w:rsidRDefault="00DF6336">
      <w:pPr>
        <w:pStyle w:val="pj"/>
      </w:pPr>
      <w:r>
        <w:rPr>
          <w:rStyle w:val="s0"/>
        </w:rPr>
        <w:t>5. ССЫЛОЧНЫЕ НОРМАТИВНО-ТЕХНИЧЕСКИЕ ДОКУМЕНТЫ</w:t>
      </w:r>
    </w:p>
    <w:p w:rsidR="00000000" w:rsidRDefault="00DF6336">
      <w:pPr>
        <w:pStyle w:val="p"/>
      </w:pPr>
      <w:r>
        <w:t> </w:t>
      </w:r>
    </w:p>
    <w:tbl>
      <w:tblPr>
        <w:tblW w:w="5000" w:type="pct"/>
        <w:jc w:val="center"/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4636"/>
        <w:gridCol w:w="4935"/>
      </w:tblGrid>
      <w:tr w:rsidR="00000000">
        <w:trPr>
          <w:jc w:val="center"/>
        </w:trPr>
        <w:tc>
          <w:tcPr>
            <w:tcW w:w="1550" w:type="pct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DF6336">
            <w:pPr>
              <w:pStyle w:val="pc"/>
            </w:pPr>
            <w:r>
              <w:rPr>
                <w:rStyle w:val="s0"/>
              </w:rPr>
              <w:t>Обозначение НТД, на который дана ссылка</w:t>
            </w:r>
          </w:p>
        </w:tc>
        <w:tc>
          <w:tcPr>
            <w:tcW w:w="1650" w:type="pct"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DF6336">
            <w:pPr>
              <w:pStyle w:val="pc"/>
            </w:pPr>
            <w:r>
              <w:rPr>
                <w:rStyle w:val="s0"/>
              </w:rPr>
              <w:t>Номер пункта</w:t>
            </w:r>
          </w:p>
        </w:tc>
      </w:tr>
      <w:tr w:rsidR="00000000">
        <w:trPr>
          <w:jc w:val="center"/>
        </w:trPr>
        <w:tc>
          <w:tcPr>
            <w:tcW w:w="155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DF6336">
            <w:pPr>
              <w:pStyle w:val="p"/>
            </w:pPr>
            <w:hyperlink r:id="rId7" w:history="1">
              <w:r>
                <w:rPr>
                  <w:rStyle w:val="a4"/>
                </w:rPr>
                <w:t>ГОСТ 12.1.005-88</w:t>
              </w:r>
            </w:hyperlink>
          </w:p>
        </w:tc>
        <w:tc>
          <w:tcPr>
            <w:tcW w:w="165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DF6336">
            <w:pPr>
              <w:pStyle w:val="pc"/>
            </w:pPr>
            <w:r>
              <w:rPr>
                <w:rStyle w:val="s0"/>
              </w:rPr>
              <w:t>2.3</w:t>
            </w:r>
          </w:p>
        </w:tc>
      </w:tr>
      <w:tr w:rsidR="00000000">
        <w:trPr>
          <w:jc w:val="center"/>
        </w:trPr>
        <w:tc>
          <w:tcPr>
            <w:tcW w:w="155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DF6336">
            <w:pPr>
              <w:pStyle w:val="p"/>
            </w:pPr>
            <w:hyperlink r:id="rId8" w:history="1">
              <w:r>
                <w:rPr>
                  <w:rStyle w:val="a4"/>
                </w:rPr>
                <w:t>ГОСТ 1510-84</w:t>
              </w:r>
            </w:hyperlink>
          </w:p>
        </w:tc>
        <w:tc>
          <w:tcPr>
            <w:tcW w:w="165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DF6336">
            <w:pPr>
              <w:pStyle w:val="pc"/>
            </w:pPr>
            <w:r>
              <w:rPr>
                <w:rStyle w:val="s0"/>
              </w:rPr>
              <w:t>5.1</w:t>
            </w:r>
          </w:p>
        </w:tc>
      </w:tr>
      <w:tr w:rsidR="00000000">
        <w:trPr>
          <w:jc w:val="center"/>
        </w:trPr>
        <w:tc>
          <w:tcPr>
            <w:tcW w:w="155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DF6336">
            <w:pPr>
              <w:pStyle w:val="p"/>
            </w:pPr>
            <w:r>
              <w:rPr>
                <w:rStyle w:val="s0"/>
              </w:rPr>
              <w:t>ГОСТ 2706.1-74</w:t>
            </w:r>
          </w:p>
        </w:tc>
        <w:tc>
          <w:tcPr>
            <w:tcW w:w="165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DF6336">
            <w:pPr>
              <w:pStyle w:val="pc"/>
            </w:pPr>
            <w:r>
              <w:rPr>
                <w:rStyle w:val="s0"/>
              </w:rPr>
              <w:t>1.3</w:t>
            </w:r>
          </w:p>
        </w:tc>
      </w:tr>
      <w:tr w:rsidR="00000000">
        <w:trPr>
          <w:jc w:val="center"/>
        </w:trPr>
        <w:tc>
          <w:tcPr>
            <w:tcW w:w="155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DF6336">
            <w:pPr>
              <w:pStyle w:val="p"/>
            </w:pPr>
            <w:r>
              <w:rPr>
                <w:rStyle w:val="s0"/>
              </w:rPr>
              <w:t>ГОСТ 2706.2-74</w:t>
            </w:r>
          </w:p>
        </w:tc>
        <w:tc>
          <w:tcPr>
            <w:tcW w:w="165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DF6336">
            <w:pPr>
              <w:pStyle w:val="pc"/>
            </w:pPr>
            <w:r>
              <w:rPr>
                <w:rStyle w:val="s0"/>
              </w:rPr>
              <w:t>1.3</w:t>
            </w:r>
          </w:p>
        </w:tc>
      </w:tr>
      <w:tr w:rsidR="00000000">
        <w:trPr>
          <w:jc w:val="center"/>
        </w:trPr>
        <w:tc>
          <w:tcPr>
            <w:tcW w:w="155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DF6336">
            <w:pPr>
              <w:pStyle w:val="p"/>
            </w:pPr>
            <w:r>
              <w:rPr>
                <w:rStyle w:val="s0"/>
              </w:rPr>
              <w:t>ГОСТ 2706.3-74</w:t>
            </w:r>
          </w:p>
        </w:tc>
        <w:tc>
          <w:tcPr>
            <w:tcW w:w="165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DF6336">
            <w:pPr>
              <w:pStyle w:val="pc"/>
            </w:pPr>
            <w:r>
              <w:rPr>
                <w:rStyle w:val="s0"/>
              </w:rPr>
              <w:t>1.3</w:t>
            </w:r>
          </w:p>
        </w:tc>
      </w:tr>
      <w:tr w:rsidR="00000000">
        <w:trPr>
          <w:jc w:val="center"/>
        </w:trPr>
        <w:tc>
          <w:tcPr>
            <w:tcW w:w="155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DF6336">
            <w:pPr>
              <w:pStyle w:val="p"/>
            </w:pPr>
            <w:r>
              <w:rPr>
                <w:rStyle w:val="s0"/>
              </w:rPr>
              <w:t>ГОСТ 2706.4-74</w:t>
            </w:r>
          </w:p>
        </w:tc>
        <w:tc>
          <w:tcPr>
            <w:tcW w:w="165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DF6336">
            <w:pPr>
              <w:pStyle w:val="pc"/>
            </w:pPr>
            <w:r>
              <w:rPr>
                <w:rStyle w:val="s0"/>
              </w:rPr>
              <w:t>1.3</w:t>
            </w:r>
          </w:p>
        </w:tc>
      </w:tr>
      <w:tr w:rsidR="00000000">
        <w:trPr>
          <w:jc w:val="center"/>
        </w:trPr>
        <w:tc>
          <w:tcPr>
            <w:tcW w:w="155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DF6336">
            <w:pPr>
              <w:pStyle w:val="p"/>
            </w:pPr>
            <w:r>
              <w:rPr>
                <w:rStyle w:val="s0"/>
              </w:rPr>
              <w:t>ГОСТ 2706.5-74</w:t>
            </w:r>
          </w:p>
        </w:tc>
        <w:tc>
          <w:tcPr>
            <w:tcW w:w="165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DF6336">
            <w:pPr>
              <w:pStyle w:val="pc"/>
            </w:pPr>
            <w:r>
              <w:rPr>
                <w:rStyle w:val="s0"/>
              </w:rPr>
              <w:t>1.3</w:t>
            </w:r>
          </w:p>
        </w:tc>
      </w:tr>
      <w:tr w:rsidR="00000000">
        <w:trPr>
          <w:jc w:val="center"/>
        </w:trPr>
        <w:tc>
          <w:tcPr>
            <w:tcW w:w="155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DF6336">
            <w:pPr>
              <w:pStyle w:val="p"/>
            </w:pPr>
            <w:r>
              <w:rPr>
                <w:rStyle w:val="s0"/>
              </w:rPr>
              <w:t>ГОСТ 2706.7-74</w:t>
            </w:r>
          </w:p>
        </w:tc>
        <w:tc>
          <w:tcPr>
            <w:tcW w:w="165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DF6336">
            <w:pPr>
              <w:pStyle w:val="pc"/>
            </w:pPr>
            <w:r>
              <w:rPr>
                <w:rStyle w:val="s0"/>
              </w:rPr>
              <w:t>1.3</w:t>
            </w:r>
          </w:p>
        </w:tc>
      </w:tr>
      <w:tr w:rsidR="00000000">
        <w:trPr>
          <w:jc w:val="center"/>
        </w:trPr>
        <w:tc>
          <w:tcPr>
            <w:tcW w:w="155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DF6336">
            <w:pPr>
              <w:pStyle w:val="p"/>
            </w:pPr>
            <w:r>
              <w:rPr>
                <w:rStyle w:val="s0"/>
              </w:rPr>
              <w:t>ГОСТ 2706.9-74</w:t>
            </w:r>
          </w:p>
        </w:tc>
        <w:tc>
          <w:tcPr>
            <w:tcW w:w="165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DF6336">
            <w:pPr>
              <w:pStyle w:val="pc"/>
            </w:pPr>
            <w:r>
              <w:rPr>
                <w:rStyle w:val="s0"/>
              </w:rPr>
              <w:t>1.3</w:t>
            </w:r>
          </w:p>
        </w:tc>
      </w:tr>
      <w:tr w:rsidR="00000000">
        <w:trPr>
          <w:jc w:val="center"/>
        </w:trPr>
        <w:tc>
          <w:tcPr>
            <w:tcW w:w="155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DF6336">
            <w:pPr>
              <w:pStyle w:val="p"/>
            </w:pPr>
            <w:r>
              <w:rPr>
                <w:rStyle w:val="s0"/>
              </w:rPr>
              <w:t>ГОСТ 2706.10-74</w:t>
            </w:r>
          </w:p>
        </w:tc>
        <w:tc>
          <w:tcPr>
            <w:tcW w:w="165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DF6336">
            <w:pPr>
              <w:pStyle w:val="pc"/>
            </w:pPr>
            <w:r>
              <w:rPr>
                <w:rStyle w:val="s0"/>
              </w:rPr>
              <w:t>1.3</w:t>
            </w:r>
          </w:p>
        </w:tc>
      </w:tr>
      <w:tr w:rsidR="00000000">
        <w:trPr>
          <w:jc w:val="center"/>
        </w:trPr>
        <w:tc>
          <w:tcPr>
            <w:tcW w:w="155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DF6336">
            <w:pPr>
              <w:pStyle w:val="p"/>
            </w:pPr>
            <w:r>
              <w:rPr>
                <w:rStyle w:val="s0"/>
              </w:rPr>
              <w:t>ГОСТ 2706.11-74</w:t>
            </w:r>
          </w:p>
        </w:tc>
        <w:tc>
          <w:tcPr>
            <w:tcW w:w="165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DF6336">
            <w:pPr>
              <w:pStyle w:val="pc"/>
            </w:pPr>
            <w:r>
              <w:rPr>
                <w:rStyle w:val="s0"/>
              </w:rPr>
              <w:t>1.3</w:t>
            </w:r>
          </w:p>
        </w:tc>
      </w:tr>
      <w:tr w:rsidR="00000000">
        <w:trPr>
          <w:jc w:val="center"/>
        </w:trPr>
        <w:tc>
          <w:tcPr>
            <w:tcW w:w="155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DF6336">
            <w:pPr>
              <w:pStyle w:val="p"/>
            </w:pPr>
            <w:r>
              <w:rPr>
                <w:rStyle w:val="s0"/>
              </w:rPr>
              <w:t>ГОСТ 2706.12-74</w:t>
            </w:r>
          </w:p>
        </w:tc>
        <w:tc>
          <w:tcPr>
            <w:tcW w:w="165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DF6336">
            <w:pPr>
              <w:pStyle w:val="pc"/>
            </w:pPr>
            <w:r>
              <w:rPr>
                <w:rStyle w:val="s0"/>
              </w:rPr>
              <w:t>1.3</w:t>
            </w:r>
          </w:p>
        </w:tc>
      </w:tr>
      <w:tr w:rsidR="00000000">
        <w:trPr>
          <w:jc w:val="center"/>
        </w:trPr>
        <w:tc>
          <w:tcPr>
            <w:tcW w:w="155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DF6336">
            <w:pPr>
              <w:pStyle w:val="p"/>
            </w:pPr>
            <w:r>
              <w:rPr>
                <w:rStyle w:val="s0"/>
              </w:rPr>
              <w:t>ГОСТ 2706.13-74</w:t>
            </w:r>
          </w:p>
        </w:tc>
        <w:tc>
          <w:tcPr>
            <w:tcW w:w="165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DF6336">
            <w:pPr>
              <w:pStyle w:val="pc"/>
            </w:pPr>
            <w:r>
              <w:rPr>
                <w:rStyle w:val="s0"/>
              </w:rPr>
              <w:t>1.3</w:t>
            </w:r>
          </w:p>
        </w:tc>
      </w:tr>
      <w:tr w:rsidR="00000000">
        <w:trPr>
          <w:jc w:val="center"/>
        </w:trPr>
        <w:tc>
          <w:tcPr>
            <w:tcW w:w="155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DF6336">
            <w:pPr>
              <w:pStyle w:val="p"/>
            </w:pPr>
            <w:hyperlink r:id="rId9" w:history="1">
              <w:r>
                <w:rPr>
                  <w:rStyle w:val="a4"/>
                </w:rPr>
                <w:t>ГОСТ 3900-85</w:t>
              </w:r>
            </w:hyperlink>
          </w:p>
        </w:tc>
        <w:tc>
          <w:tcPr>
            <w:tcW w:w="165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DF6336">
            <w:pPr>
              <w:pStyle w:val="pc"/>
            </w:pPr>
            <w:r>
              <w:rPr>
                <w:rStyle w:val="s0"/>
              </w:rPr>
              <w:t>1.3</w:t>
            </w:r>
          </w:p>
        </w:tc>
      </w:tr>
      <w:tr w:rsidR="00000000">
        <w:trPr>
          <w:jc w:val="center"/>
        </w:trPr>
        <w:tc>
          <w:tcPr>
            <w:tcW w:w="155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DF6336">
            <w:pPr>
              <w:pStyle w:val="p"/>
            </w:pPr>
            <w:hyperlink r:id="rId10" w:history="1">
              <w:r>
                <w:rPr>
                  <w:rStyle w:val="a4"/>
                </w:rPr>
                <w:t>ГОСТ 5445-79</w:t>
              </w:r>
            </w:hyperlink>
          </w:p>
        </w:tc>
        <w:tc>
          <w:tcPr>
            <w:tcW w:w="165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DF6336">
            <w:pPr>
              <w:pStyle w:val="pc"/>
            </w:pPr>
            <w:r>
              <w:rPr>
                <w:rStyle w:val="s0"/>
              </w:rPr>
              <w:t>3.1, 4.1</w:t>
            </w:r>
          </w:p>
        </w:tc>
      </w:tr>
      <w:tr w:rsidR="00000000">
        <w:trPr>
          <w:jc w:val="center"/>
        </w:trPr>
        <w:tc>
          <w:tcPr>
            <w:tcW w:w="155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DF6336">
            <w:pPr>
              <w:pStyle w:val="p"/>
            </w:pPr>
            <w:hyperlink r:id="rId11" w:history="1">
              <w:r>
                <w:rPr>
                  <w:rStyle w:val="a4"/>
                </w:rPr>
                <w:t>ГОСТ 6321-92</w:t>
              </w:r>
            </w:hyperlink>
          </w:p>
        </w:tc>
        <w:tc>
          <w:tcPr>
            <w:tcW w:w="165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DF6336">
            <w:pPr>
              <w:pStyle w:val="pc"/>
            </w:pPr>
            <w:r>
              <w:rPr>
                <w:rStyle w:val="s0"/>
              </w:rPr>
              <w:t>1.3</w:t>
            </w:r>
          </w:p>
        </w:tc>
      </w:tr>
      <w:tr w:rsidR="00000000">
        <w:trPr>
          <w:jc w:val="center"/>
        </w:trPr>
        <w:tc>
          <w:tcPr>
            <w:tcW w:w="155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DF6336">
            <w:pPr>
              <w:pStyle w:val="p"/>
            </w:pPr>
            <w:hyperlink r:id="rId12" w:history="1">
              <w:r>
                <w:rPr>
                  <w:rStyle w:val="a4"/>
                </w:rPr>
                <w:t>ГОСТ 13380-81</w:t>
              </w:r>
            </w:hyperlink>
          </w:p>
        </w:tc>
        <w:tc>
          <w:tcPr>
            <w:tcW w:w="165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DF6336">
            <w:pPr>
              <w:pStyle w:val="pc"/>
            </w:pPr>
            <w:r>
              <w:rPr>
                <w:rStyle w:val="s0"/>
              </w:rPr>
              <w:t>1.3</w:t>
            </w:r>
          </w:p>
        </w:tc>
      </w:tr>
      <w:tr w:rsidR="00000000">
        <w:trPr>
          <w:jc w:val="center"/>
        </w:trPr>
        <w:tc>
          <w:tcPr>
            <w:tcW w:w="155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DF6336">
            <w:pPr>
              <w:pStyle w:val="p"/>
            </w:pPr>
            <w:hyperlink r:id="rId13" w:history="1">
              <w:r>
                <w:rPr>
                  <w:rStyle w:val="a4"/>
                </w:rPr>
                <w:t>ГОСТ 18995.1-73</w:t>
              </w:r>
            </w:hyperlink>
          </w:p>
        </w:tc>
        <w:tc>
          <w:tcPr>
            <w:tcW w:w="165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DF6336">
            <w:pPr>
              <w:pStyle w:val="pc"/>
            </w:pPr>
            <w:r>
              <w:rPr>
                <w:rStyle w:val="s0"/>
              </w:rPr>
              <w:t>1.3</w:t>
            </w:r>
          </w:p>
        </w:tc>
      </w:tr>
      <w:tr w:rsidR="00000000">
        <w:trPr>
          <w:jc w:val="center"/>
        </w:trPr>
        <w:tc>
          <w:tcPr>
            <w:tcW w:w="155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DF6336">
            <w:pPr>
              <w:pStyle w:val="p"/>
            </w:pPr>
            <w:hyperlink r:id="rId14" w:history="1">
              <w:r>
                <w:rPr>
                  <w:rStyle w:val="a4"/>
                </w:rPr>
                <w:t>ГОСТ 19433-88</w:t>
              </w:r>
            </w:hyperlink>
          </w:p>
        </w:tc>
        <w:tc>
          <w:tcPr>
            <w:tcW w:w="165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DF6336">
            <w:pPr>
              <w:pStyle w:val="pc"/>
            </w:pPr>
            <w:r>
              <w:rPr>
                <w:rStyle w:val="s0"/>
              </w:rPr>
              <w:t>5.1</w:t>
            </w:r>
          </w:p>
        </w:tc>
      </w:tr>
    </w:tbl>
    <w:p w:rsidR="00000000" w:rsidRDefault="00DF6336">
      <w:pPr>
        <w:pStyle w:val="p"/>
      </w:pPr>
      <w:r>
        <w:rPr>
          <w:b/>
          <w:bCs/>
          <w:color w:val="41495A"/>
        </w:rPr>
        <w:t> </w:t>
      </w:r>
    </w:p>
    <w:p w:rsidR="00000000" w:rsidRDefault="00DF6336">
      <w:pPr>
        <w:pStyle w:val="pj"/>
      </w:pPr>
      <w:r>
        <w:rPr>
          <w:rStyle w:val="s0"/>
        </w:rPr>
        <w:t xml:space="preserve">6. Ограничение срока действия снято Постановлением Госстандарта СССР от 27.12.91 </w:t>
      </w:r>
      <w:r>
        <w:rPr>
          <w:rStyle w:val="s0"/>
        </w:rPr>
        <w:t>№ 2178</w:t>
      </w:r>
    </w:p>
    <w:p w:rsidR="00000000" w:rsidRDefault="00DF6336">
      <w:pPr>
        <w:pStyle w:val="pj"/>
      </w:pPr>
      <w:r>
        <w:rPr>
          <w:rStyle w:val="s0"/>
        </w:rPr>
        <w:t>7. ПЕРЕИЗДАНИЕ (июль 1996 г.) с Изменениями № 1, 2, 3, утвержденными в июле 1984 г., апреле 1988 г., декабре 1991 г. (ИУС 11-84, 7-88, 4-92)</w:t>
      </w:r>
    </w:p>
    <w:p w:rsidR="00000000" w:rsidRDefault="00DF6336">
      <w:pPr>
        <w:pStyle w:val="p"/>
      </w:pPr>
      <w:r>
        <w:t> </w:t>
      </w:r>
    </w:p>
    <w:p w:rsidR="00000000" w:rsidRDefault="00DF6336">
      <w:pPr>
        <w:pStyle w:val="pj"/>
      </w:pPr>
      <w:r>
        <w:t> </w:t>
      </w:r>
    </w:p>
    <w:sectPr w:rsidR="00000000">
      <w:headerReference w:type="even" r:id="rId15"/>
      <w:headerReference w:type="default" r:id="rId16"/>
      <w:footerReference w:type="even" r:id="rId17"/>
      <w:footerReference w:type="default" r:id="rId18"/>
      <w:headerReference w:type="first" r:id="rId19"/>
      <w:footerReference w:type="first" r:id="rId20"/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DF6336" w:rsidRDefault="00DF6336" w:rsidP="00DF6336">
      <w:r>
        <w:separator/>
      </w:r>
    </w:p>
  </w:endnote>
  <w:endnote w:type="continuationSeparator" w:id="0">
    <w:p w:rsidR="00DF6336" w:rsidRDefault="00DF6336" w:rsidP="00DF6336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DF6336" w:rsidRDefault="00DF6336">
    <w:pPr>
      <w:pStyle w:val="a8"/>
    </w:pP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DF6336" w:rsidRDefault="00DF6336">
    <w:pPr>
      <w:pStyle w:val="a8"/>
    </w:pPr>
  </w:p>
</w:ftr>
</file>

<file path=word/footer3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DF6336" w:rsidRDefault="00DF6336">
    <w:pPr>
      <w:pStyle w:val="a8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DF6336" w:rsidRDefault="00DF6336" w:rsidP="00DF6336">
      <w:r>
        <w:separator/>
      </w:r>
    </w:p>
  </w:footnote>
  <w:footnote w:type="continuationSeparator" w:id="0">
    <w:p w:rsidR="00DF6336" w:rsidRDefault="00DF6336" w:rsidP="00DF6336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DF6336" w:rsidRDefault="00DF6336">
    <w:pPr>
      <w:pStyle w:val="a6"/>
    </w:pPr>
  </w:p>
</w:hdr>
</file>

<file path=word/header2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DF6336" w:rsidRDefault="00DF6336" w:rsidP="00DF6336">
    <w:pPr>
      <w:pStyle w:val="a6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Источник: Информационная система "ПАРАГРАФ"</w:t>
    </w:r>
  </w:p>
  <w:p w:rsidR="00DF6336" w:rsidRPr="00DF6336" w:rsidRDefault="00DF6336" w:rsidP="00DF6336">
    <w:pPr>
      <w:pStyle w:val="a6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Документ: ГОСТ 8448-78 «Бензол каменноугольный и сланцевый. Технические условия» (изм. 1 - 3) (утратил силу)</w:t>
    </w:r>
  </w:p>
</w:hdr>
</file>

<file path=word/header3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DF6336" w:rsidRDefault="00DF6336">
    <w:pPr>
      <w:pStyle w:val="a6"/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view w:val="web"/>
  <w:zoom w:percent="100"/>
  <w:defaultTabStop w:val="708"/>
  <w:noPunctuationKerning/>
  <w:characterSpacingControl w:val="doNotCompress"/>
  <w:footnotePr>
    <w:footnote w:id="-1"/>
    <w:footnote w:id="0"/>
  </w:footnotePr>
  <w:endnotePr>
    <w:endnote w:id="-1"/>
    <w:endnote w:id="0"/>
  </w:endnotePr>
  <w:compat>
    <w:doNotSnapToGridInCell/>
    <w:doNotWrapTextWithPunct/>
    <w:doNotUseEastAsianBreakRules/>
    <w:growAutofit/>
    <w:compatSetting w:name="compatibilityMode" w:uri="http://schemas.microsoft.com/office/word" w:val="14"/>
  </w:compat>
  <w:rsids>
    <w:rsidRoot w:val="00DF6336"/>
    <w:rsid w:val="00DF6336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rmal (Web)"/>
    <w:basedOn w:val="a"/>
    <w:uiPriority w:val="99"/>
    <w:semiHidden/>
    <w:unhideWhenUsed/>
    <w:rPr>
      <w:color w:val="000000"/>
    </w:rPr>
  </w:style>
  <w:style w:type="paragraph" w:customStyle="1" w:styleId="pc">
    <w:name w:val="pc"/>
    <w:basedOn w:val="a"/>
    <w:pPr>
      <w:jc w:val="center"/>
    </w:pPr>
    <w:rPr>
      <w:color w:val="000000"/>
    </w:rPr>
  </w:style>
  <w:style w:type="paragraph" w:customStyle="1" w:styleId="pr">
    <w:name w:val="pr"/>
    <w:basedOn w:val="a"/>
    <w:pPr>
      <w:jc w:val="right"/>
    </w:pPr>
    <w:rPr>
      <w:color w:val="000000"/>
    </w:rPr>
  </w:style>
  <w:style w:type="paragraph" w:customStyle="1" w:styleId="pj">
    <w:name w:val="pj"/>
    <w:basedOn w:val="a"/>
    <w:pPr>
      <w:ind w:firstLine="400"/>
      <w:jc w:val="both"/>
    </w:pPr>
    <w:rPr>
      <w:color w:val="000000"/>
    </w:rPr>
  </w:style>
  <w:style w:type="paragraph" w:customStyle="1" w:styleId="pji">
    <w:name w:val="pji"/>
    <w:basedOn w:val="a"/>
    <w:pPr>
      <w:jc w:val="both"/>
    </w:pPr>
    <w:rPr>
      <w:color w:val="000000"/>
    </w:rPr>
  </w:style>
  <w:style w:type="paragraph" w:customStyle="1" w:styleId="s8">
    <w:name w:val="s8"/>
    <w:basedOn w:val="a"/>
    <w:rPr>
      <w:color w:val="333399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1">
    <w:name w:val="s1"/>
    <w:basedOn w:val="a0"/>
    <w:rPr>
      <w:rFonts w:ascii="Times New Roman" w:hAnsi="Times New Roman" w:cs="Times New Roman" w:hint="default"/>
      <w:b/>
      <w:bCs/>
      <w:color w:val="000000"/>
    </w:rPr>
  </w:style>
  <w:style w:type="paragraph" w:customStyle="1" w:styleId="p">
    <w:name w:val="p"/>
    <w:basedOn w:val="a"/>
    <w:rPr>
      <w:color w:val="000000"/>
    </w:rPr>
  </w:style>
  <w:style w:type="character" w:styleId="a4">
    <w:name w:val="Hyperlink"/>
    <w:basedOn w:val="a0"/>
    <w:uiPriority w:val="99"/>
    <w:semiHidden/>
    <w:unhideWhenUsed/>
    <w:rPr>
      <w:color w:val="0000FF"/>
      <w:u w:val="single"/>
    </w:rPr>
  </w:style>
  <w:style w:type="character" w:styleId="a5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6">
    <w:name w:val="header"/>
    <w:basedOn w:val="a"/>
    <w:link w:val="a7"/>
    <w:uiPriority w:val="99"/>
    <w:unhideWhenUsed/>
    <w:rsid w:val="00DF6336"/>
    <w:pPr>
      <w:tabs>
        <w:tab w:val="center" w:pos="4677"/>
        <w:tab w:val="right" w:pos="9355"/>
      </w:tabs>
    </w:pPr>
  </w:style>
  <w:style w:type="character" w:customStyle="1" w:styleId="a7">
    <w:name w:val="Верхний колонтитул Знак"/>
    <w:basedOn w:val="a0"/>
    <w:link w:val="a6"/>
    <w:uiPriority w:val="99"/>
    <w:rsid w:val="00DF6336"/>
    <w:rPr>
      <w:rFonts w:eastAsiaTheme="minorEastAsia"/>
      <w:sz w:val="24"/>
      <w:szCs w:val="24"/>
    </w:rPr>
  </w:style>
  <w:style w:type="paragraph" w:styleId="a8">
    <w:name w:val="footer"/>
    <w:basedOn w:val="a"/>
    <w:link w:val="a9"/>
    <w:uiPriority w:val="99"/>
    <w:unhideWhenUsed/>
    <w:rsid w:val="00DF6336"/>
    <w:pPr>
      <w:tabs>
        <w:tab w:val="center" w:pos="4677"/>
        <w:tab w:val="right" w:pos="9355"/>
      </w:tabs>
    </w:pPr>
  </w:style>
  <w:style w:type="character" w:customStyle="1" w:styleId="a9">
    <w:name w:val="Нижний колонтитул Знак"/>
    <w:basedOn w:val="a0"/>
    <w:link w:val="a8"/>
    <w:uiPriority w:val="99"/>
    <w:rsid w:val="00DF6336"/>
    <w:rPr>
      <w:rFonts w:eastAsiaTheme="minorEastAsia"/>
      <w:sz w:val="24"/>
      <w:szCs w:val="24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rmal (Web)"/>
    <w:basedOn w:val="a"/>
    <w:uiPriority w:val="99"/>
    <w:semiHidden/>
    <w:unhideWhenUsed/>
    <w:rPr>
      <w:color w:val="000000"/>
    </w:rPr>
  </w:style>
  <w:style w:type="paragraph" w:customStyle="1" w:styleId="pc">
    <w:name w:val="pc"/>
    <w:basedOn w:val="a"/>
    <w:pPr>
      <w:jc w:val="center"/>
    </w:pPr>
    <w:rPr>
      <w:color w:val="000000"/>
    </w:rPr>
  </w:style>
  <w:style w:type="paragraph" w:customStyle="1" w:styleId="pr">
    <w:name w:val="pr"/>
    <w:basedOn w:val="a"/>
    <w:pPr>
      <w:jc w:val="right"/>
    </w:pPr>
    <w:rPr>
      <w:color w:val="000000"/>
    </w:rPr>
  </w:style>
  <w:style w:type="paragraph" w:customStyle="1" w:styleId="pj">
    <w:name w:val="pj"/>
    <w:basedOn w:val="a"/>
    <w:pPr>
      <w:ind w:firstLine="400"/>
      <w:jc w:val="both"/>
    </w:pPr>
    <w:rPr>
      <w:color w:val="000000"/>
    </w:rPr>
  </w:style>
  <w:style w:type="paragraph" w:customStyle="1" w:styleId="pji">
    <w:name w:val="pji"/>
    <w:basedOn w:val="a"/>
    <w:pPr>
      <w:jc w:val="both"/>
    </w:pPr>
    <w:rPr>
      <w:color w:val="000000"/>
    </w:rPr>
  </w:style>
  <w:style w:type="paragraph" w:customStyle="1" w:styleId="s8">
    <w:name w:val="s8"/>
    <w:basedOn w:val="a"/>
    <w:rPr>
      <w:color w:val="333399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1">
    <w:name w:val="s1"/>
    <w:basedOn w:val="a0"/>
    <w:rPr>
      <w:rFonts w:ascii="Times New Roman" w:hAnsi="Times New Roman" w:cs="Times New Roman" w:hint="default"/>
      <w:b/>
      <w:bCs/>
      <w:color w:val="000000"/>
    </w:rPr>
  </w:style>
  <w:style w:type="paragraph" w:customStyle="1" w:styleId="p">
    <w:name w:val="p"/>
    <w:basedOn w:val="a"/>
    <w:rPr>
      <w:color w:val="000000"/>
    </w:rPr>
  </w:style>
  <w:style w:type="character" w:styleId="a4">
    <w:name w:val="Hyperlink"/>
    <w:basedOn w:val="a0"/>
    <w:uiPriority w:val="99"/>
    <w:semiHidden/>
    <w:unhideWhenUsed/>
    <w:rPr>
      <w:color w:val="0000FF"/>
      <w:u w:val="single"/>
    </w:rPr>
  </w:style>
  <w:style w:type="character" w:styleId="a5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6">
    <w:name w:val="header"/>
    <w:basedOn w:val="a"/>
    <w:link w:val="a7"/>
    <w:uiPriority w:val="99"/>
    <w:unhideWhenUsed/>
    <w:rsid w:val="00DF6336"/>
    <w:pPr>
      <w:tabs>
        <w:tab w:val="center" w:pos="4677"/>
        <w:tab w:val="right" w:pos="9355"/>
      </w:tabs>
    </w:pPr>
  </w:style>
  <w:style w:type="character" w:customStyle="1" w:styleId="a7">
    <w:name w:val="Верхний колонтитул Знак"/>
    <w:basedOn w:val="a0"/>
    <w:link w:val="a6"/>
    <w:uiPriority w:val="99"/>
    <w:rsid w:val="00DF6336"/>
    <w:rPr>
      <w:rFonts w:eastAsiaTheme="minorEastAsia"/>
      <w:sz w:val="24"/>
      <w:szCs w:val="24"/>
    </w:rPr>
  </w:style>
  <w:style w:type="paragraph" w:styleId="a8">
    <w:name w:val="footer"/>
    <w:basedOn w:val="a"/>
    <w:link w:val="a9"/>
    <w:uiPriority w:val="99"/>
    <w:unhideWhenUsed/>
    <w:rsid w:val="00DF6336"/>
    <w:pPr>
      <w:tabs>
        <w:tab w:val="center" w:pos="4677"/>
        <w:tab w:val="right" w:pos="9355"/>
      </w:tabs>
    </w:pPr>
  </w:style>
  <w:style w:type="character" w:customStyle="1" w:styleId="a9">
    <w:name w:val="Нижний колонтитул Знак"/>
    <w:basedOn w:val="a0"/>
    <w:link w:val="a8"/>
    <w:uiPriority w:val="99"/>
    <w:rsid w:val="00DF6336"/>
    <w:rPr>
      <w:rFonts w:eastAsiaTheme="minorEastAsia"/>
      <w:sz w:val="24"/>
      <w:szCs w:val="24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encoding w:val="windows-1251"/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http://online.zakon.kz/Document/?doc_id=30007321" TargetMode="External"/><Relationship Id="rId13" Type="http://schemas.openxmlformats.org/officeDocument/2006/relationships/hyperlink" Target="http://online.zakon.kz/Document/?doc_id=30177642" TargetMode="External"/><Relationship Id="rId18" Type="http://schemas.openxmlformats.org/officeDocument/2006/relationships/footer" Target="footer2.xml"/><Relationship Id="rId3" Type="http://schemas.openxmlformats.org/officeDocument/2006/relationships/settings" Target="settings.xml"/><Relationship Id="rId21" Type="http://schemas.openxmlformats.org/officeDocument/2006/relationships/fontTable" Target="fontTable.xml"/><Relationship Id="rId7" Type="http://schemas.openxmlformats.org/officeDocument/2006/relationships/hyperlink" Target="http://online.zakon.kz/Document/?doc_id=1037922" TargetMode="External"/><Relationship Id="rId12" Type="http://schemas.openxmlformats.org/officeDocument/2006/relationships/hyperlink" Target="http://online.zakon.kz/Document/?doc_id=30654737" TargetMode="External"/><Relationship Id="rId17" Type="http://schemas.openxmlformats.org/officeDocument/2006/relationships/footer" Target="footer1.xml"/><Relationship Id="rId2" Type="http://schemas.microsoft.com/office/2007/relationships/stylesWithEffects" Target="stylesWithEffects.xml"/><Relationship Id="rId16" Type="http://schemas.openxmlformats.org/officeDocument/2006/relationships/header" Target="header2.xml"/><Relationship Id="rId20" Type="http://schemas.openxmlformats.org/officeDocument/2006/relationships/footer" Target="footer3.xml"/><Relationship Id="rId1" Type="http://schemas.openxmlformats.org/officeDocument/2006/relationships/styles" Target="styles.xml"/><Relationship Id="rId6" Type="http://schemas.openxmlformats.org/officeDocument/2006/relationships/endnotes" Target="endnotes.xml"/><Relationship Id="rId11" Type="http://schemas.openxmlformats.org/officeDocument/2006/relationships/hyperlink" Target="http://online.zakon.kz/Document/?doc_id=30487925" TargetMode="External"/><Relationship Id="rId5" Type="http://schemas.openxmlformats.org/officeDocument/2006/relationships/footnotes" Target="footnotes.xml"/><Relationship Id="rId15" Type="http://schemas.openxmlformats.org/officeDocument/2006/relationships/header" Target="header1.xml"/><Relationship Id="rId10" Type="http://schemas.openxmlformats.org/officeDocument/2006/relationships/hyperlink" Target="http://online.zakon.kz/Document/?doc_id=30789216" TargetMode="External"/><Relationship Id="rId19" Type="http://schemas.openxmlformats.org/officeDocument/2006/relationships/header" Target="header3.xml"/><Relationship Id="rId4" Type="http://schemas.openxmlformats.org/officeDocument/2006/relationships/webSettings" Target="webSettings.xml"/><Relationship Id="rId9" Type="http://schemas.openxmlformats.org/officeDocument/2006/relationships/hyperlink" Target="http://online.zakon.kz/Document/?doc_id=30007642" TargetMode="External"/><Relationship Id="rId14" Type="http://schemas.openxmlformats.org/officeDocument/2006/relationships/hyperlink" Target="http://online.zakon.kz/Document/?doc_id=1034128" TargetMode="External"/><Relationship Id="rId22" Type="http://schemas.openxmlformats.org/officeDocument/2006/relationships/theme" Target="theme/theme1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1</Pages>
  <Words>260</Words>
  <Characters>1482</Characters>
  <Application>Microsoft Office Word</Application>
  <DocSecurity>0</DocSecurity>
  <Lines>12</Lines>
  <Paragraphs>3</Paragraphs>
  <ScaleCrop>false</ScaleCrop>
  <Company>SPecialiST RePack</Company>
  <LinksUpToDate>false</LinksUpToDate>
  <CharactersWithSpaces>1739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ГОСТ 8448-78 «Бензол каменноугольный и сланцевый. Технические условия» (изм. 1 - 3) (утратил силу) (©Paragraph 2024)</dc:title>
  <dc:subject/>
  <dc:creator>Сергей Мельников</dc:creator>
  <cp:keywords/>
  <dc:description/>
  <cp:lastModifiedBy>Сергей Мельников</cp:lastModifiedBy>
  <cp:revision>2</cp:revision>
  <dcterms:created xsi:type="dcterms:W3CDTF">2024-07-20T07:10:00Z</dcterms:created>
  <dcterms:modified xsi:type="dcterms:W3CDTF">2024-07-20T07:10:00Z</dcterms:modified>
</cp:coreProperties>
</file>