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551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17 августа 2010 года № 437 «О форме, порядке заполнения, выдачи и применения заключений о признании товара, изготовленного (полученного) с использованием иностранных товаров, помещенных под таможенную процедуру свободн</w:t>
      </w:r>
      <w:r>
        <w:rPr>
          <w:rStyle w:val="s0"/>
          <w:b/>
          <w:bCs/>
        </w:rPr>
        <w:t xml:space="preserve">ой таможенной зоны или таможенную процедуру свободного склада, товаром Евразийского экономического союза и о признании товара, изготовленного (полученного) с использованием иностранных товаров, помещенных под таможенную процедуру свободной таможенной зоны </w:t>
      </w:r>
      <w:r>
        <w:rPr>
          <w:rStyle w:val="s0"/>
          <w:b/>
          <w:bCs/>
        </w:rPr>
        <w:t>или таможенную процедуру свободного склада, не являющимся товаром Евразийского экономического союза» (г. Москва) (с изменениями и дополнениями по состоянию на 06.10.2015 г.)</w:t>
      </w:r>
    </w:p>
    <w:p w:rsidR="00000000" w:rsidRDefault="004D5510">
      <w:r>
        <w:t> </w:t>
      </w:r>
    </w:p>
    <w:p w:rsidR="00000000" w:rsidRDefault="004D551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Комиссии Таможенного союза 8 ноября 2010 г.</w:t>
      </w:r>
    </w:p>
    <w:p w:rsidR="00000000" w:rsidRDefault="004D5510">
      <w:pPr>
        <w:ind w:firstLine="400"/>
        <w:jc w:val="both"/>
      </w:pPr>
      <w:r>
        <w:rPr>
          <w:rStyle w:val="s0"/>
        </w:rPr>
        <w:t> </w:t>
      </w:r>
    </w:p>
    <w:p w:rsidR="00000000" w:rsidRDefault="004D5510">
      <w:pPr>
        <w:ind w:firstLine="400"/>
        <w:jc w:val="both"/>
      </w:pPr>
      <w:r>
        <w:t>Внесены изменения:</w:t>
      </w:r>
    </w:p>
    <w:p w:rsidR="00000000" w:rsidRDefault="004D5510">
      <w:pPr>
        <w:ind w:firstLine="400"/>
        <w:jc w:val="both"/>
      </w:pPr>
      <w:r>
        <w:t> </w:t>
      </w:r>
    </w:p>
    <w:p w:rsidR="00000000" w:rsidRDefault="004D5510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12.07.12 г. № 105 (вступило в силу по истечении 30 календарных дней </w:t>
      </w:r>
      <w:r>
        <w:rPr>
          <w:rStyle w:val="s0"/>
        </w:rPr>
        <w:t xml:space="preserve">с даты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D5510">
      <w:pPr>
        <w:ind w:firstLine="400"/>
        <w:jc w:val="both"/>
      </w:pPr>
      <w:hyperlink r:id="rId10" w:anchor="sub_id=8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27.04.15 г. № </w:t>
      </w:r>
      <w:r>
        <w:rPr>
          <w:rStyle w:val="s0"/>
        </w:rPr>
        <w:t xml:space="preserve">38 (вступило в силу по истечении 30 календарных дней с даты его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D5510">
      <w:pPr>
        <w:ind w:firstLine="400"/>
        <w:jc w:val="both"/>
      </w:pPr>
      <w:hyperlink r:id="rId12" w:anchor="sub_id=800" w:history="1">
        <w:r>
          <w:rPr>
            <w:rStyle w:val="a3"/>
          </w:rPr>
          <w:t>Решением</w:t>
        </w:r>
      </w:hyperlink>
      <w:r>
        <w:t xml:space="preserve"> Коллегии</w:t>
      </w:r>
      <w:r>
        <w:t xml:space="preserve"> Евразийской экономической комиссии от 06.10.15 г. № 129 (</w:t>
      </w:r>
      <w:r>
        <w:rPr>
          <w:rStyle w:val="s0"/>
        </w:rPr>
        <w:t xml:space="preserve">вступило в силу по истечении 30 календарных дней с даты его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4D5510">
      <w:pPr>
        <w:ind w:firstLine="400"/>
        <w:jc w:val="both"/>
      </w:pPr>
      <w:r>
        <w:rPr>
          <w:rStyle w:val="s0"/>
        </w:rPr>
        <w:t> </w:t>
      </w:r>
    </w:p>
    <w:p w:rsidR="00000000" w:rsidRDefault="004D551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D5510">
      <w:pPr>
        <w:ind w:firstLine="400"/>
        <w:jc w:val="both"/>
      </w:pPr>
      <w:r>
        <w:rPr>
          <w:rStyle w:val="s0"/>
        </w:rPr>
        <w:t> </w:t>
      </w:r>
    </w:p>
    <w:p w:rsidR="00000000" w:rsidRDefault="004D5510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12.07.12 г.</w:t>
      </w:r>
    </w:p>
    <w:p w:rsidR="00000000" w:rsidRDefault="004D5510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27.04.15 г.</w:t>
      </w:r>
    </w:p>
    <w:p w:rsidR="00000000" w:rsidRDefault="004D5510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06.10.15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5510" w:rsidRDefault="004D5510" w:rsidP="004D5510">
      <w:r>
        <w:separator/>
      </w:r>
    </w:p>
  </w:endnote>
  <w:endnote w:type="continuationSeparator" w:id="0">
    <w:p w:rsidR="004D5510" w:rsidRDefault="004D5510" w:rsidP="004D55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510" w:rsidRDefault="004D55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510" w:rsidRDefault="004D55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510" w:rsidRDefault="004D55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5510" w:rsidRDefault="004D5510" w:rsidP="004D5510">
      <w:r>
        <w:separator/>
      </w:r>
    </w:p>
  </w:footnote>
  <w:footnote w:type="continuationSeparator" w:id="0">
    <w:p w:rsidR="004D5510" w:rsidRDefault="004D5510" w:rsidP="004D55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510" w:rsidRDefault="004D55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510" w:rsidRDefault="004D5510" w:rsidP="004D55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5510" w:rsidRPr="004D5510" w:rsidRDefault="004D5510" w:rsidP="004D55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17.08.2010 № 437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510" w:rsidRDefault="004D55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5510"/>
    <w:rsid w:val="004D5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55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55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55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55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55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55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55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55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22130" TargetMode="External"/><Relationship Id="rId13" Type="http://schemas.openxmlformats.org/officeDocument/2006/relationships/hyperlink" Target="http://online.zakon.kz/Document/?doc_id=3775050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789387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57417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0552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9002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56195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2131" TargetMode="External"/><Relationship Id="rId14" Type="http://schemas.openxmlformats.org/officeDocument/2006/relationships/hyperlink" Target="http://online.zakon.kz/Document/?doc_id=3123830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1958</Characters>
  <Application>Microsoft Office Word</Application>
  <DocSecurity>0</DocSecurity>
  <Lines>16</Lines>
  <Paragraphs>4</Paragraphs>
  <ScaleCrop>false</ScaleCrop>
  <Company/>
  <LinksUpToDate>false</LinksUpToDate>
  <CharactersWithSpaces>2144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17.08.2010 № 437 (©Paragraph 2023)</dc:title>
  <dc:subject/>
  <dc:creator>Сергей М</dc:creator>
  <cp:keywords/>
  <dc:description/>
  <cp:lastModifiedBy>Сергей М</cp:lastModifiedBy>
  <cp:revision>2</cp:revision>
  <dcterms:created xsi:type="dcterms:W3CDTF">2023-11-19T11:35:00Z</dcterms:created>
  <dcterms:modified xsi:type="dcterms:W3CDTF">2023-11-19T11:35:00Z</dcterms:modified>
</cp:coreProperties>
</file>