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0345">
      <w:pPr>
        <w:jc w:val="center"/>
      </w:pPr>
      <w:bookmarkStart w:id="0" w:name="_GoBack"/>
      <w:bookmarkEnd w:id="0"/>
      <w:r>
        <w:rPr>
          <w:rStyle w:val="s1"/>
        </w:rPr>
        <w:t xml:space="preserve">Письмо Налогового комитета Министерства финансов Республики Казахстан от 14 декабря 2010 года № НК-21-57/14902 </w:t>
      </w:r>
    </w:p>
    <w:p w:rsidR="00000000" w:rsidRDefault="004A0345">
      <w:pPr>
        <w:ind w:firstLine="400"/>
        <w:jc w:val="both"/>
      </w:pPr>
      <w:r>
        <w:rPr>
          <w:rStyle w:val="s0"/>
        </w:rPr>
        <w:t> </w:t>
      </w:r>
    </w:p>
    <w:p w:rsidR="00000000" w:rsidRDefault="004A0345">
      <w:pPr>
        <w:jc w:val="both"/>
      </w:pPr>
      <w:r>
        <w:rPr>
          <w:rStyle w:val="s3"/>
        </w:rPr>
        <w:t>Основано на законодательстве, действовавшем до 1 января 2014 года</w:t>
      </w:r>
    </w:p>
    <w:p w:rsidR="00000000" w:rsidRDefault="004A0345">
      <w:pPr>
        <w:ind w:firstLine="400"/>
        <w:jc w:val="both"/>
      </w:pPr>
      <w:r>
        <w:t> </w:t>
      </w:r>
    </w:p>
    <w:p w:rsidR="00000000" w:rsidRDefault="004A0345">
      <w:pPr>
        <w:ind w:firstLine="400"/>
        <w:jc w:val="both"/>
      </w:pPr>
      <w:r>
        <w:rPr>
          <w:rStyle w:val="s0"/>
        </w:rPr>
        <w:t xml:space="preserve">Налоговый комитет Министерства финансов Республики Казахстан относительно внесенных изменений и дополнений в Кодекс Республики Казахстан «О налогах и других обязательных платежах в бюджет» (Налоговый кодекс)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налогообложения» от 26 ноября 2010 года № 356-IV сообщает следующее.</w:t>
      </w:r>
    </w:p>
    <w:p w:rsidR="00000000" w:rsidRDefault="004A0345">
      <w:pPr>
        <w:ind w:firstLine="400"/>
        <w:jc w:val="both"/>
      </w:pPr>
      <w:r>
        <w:rPr>
          <w:rStyle w:val="s0"/>
        </w:rPr>
        <w:t>Отменено поэтапное снижение ставки корпо</w:t>
      </w:r>
      <w:r>
        <w:rPr>
          <w:rStyle w:val="s0"/>
        </w:rPr>
        <w:t>ративного подоходного налога. Ставка корпоративного подоходного налога сохранена на уровне 20 процентов от налогооблагаемого дохода, ставка корпоративного подоходного налога, удерживаемого у источника выплаты, - на уровне 15 процентов от суммы выплачиваемо</w:t>
      </w:r>
      <w:r>
        <w:rPr>
          <w:rStyle w:val="s0"/>
        </w:rPr>
        <w:t>го дохода.</w:t>
      </w:r>
    </w:p>
    <w:p w:rsidR="00000000" w:rsidRDefault="004A0345">
      <w:pPr>
        <w:ind w:firstLine="400"/>
        <w:jc w:val="both"/>
      </w:pPr>
      <w:r>
        <w:rPr>
          <w:rStyle w:val="s0"/>
        </w:rPr>
        <w:t>Введены положения по налогообложению инвестиционного золота. При этом инвестиционным золотом признается золото, на которое имеется сертификат или иной документ, выданный органом по подтверждению соответствия или испытательной лабораторией, аккре</w:t>
      </w:r>
      <w:r>
        <w:rPr>
          <w:rStyle w:val="s0"/>
        </w:rPr>
        <w:t>дитованным в установленном законодательством порядке, по подтверждению соответствия такого золота национальному или международному стандартам качества.</w:t>
      </w:r>
    </w:p>
    <w:p w:rsidR="00000000" w:rsidRDefault="004A0345">
      <w:pPr>
        <w:ind w:firstLine="400"/>
        <w:jc w:val="both"/>
      </w:pPr>
      <w:r>
        <w:rPr>
          <w:rStyle w:val="s0"/>
        </w:rPr>
        <w:t>Кроме того, такое золото должно соответствовать следующим условиям:</w:t>
      </w:r>
    </w:p>
    <w:p w:rsidR="00000000" w:rsidRDefault="004A0345">
      <w:pPr>
        <w:ind w:firstLine="400"/>
        <w:jc w:val="both"/>
      </w:pPr>
      <w:r>
        <w:rPr>
          <w:b/>
          <w:bCs/>
        </w:rPr>
        <w:t>для золотых монет:</w:t>
      </w:r>
    </w:p>
    <w:p w:rsidR="00000000" w:rsidRDefault="004A0345">
      <w:pPr>
        <w:ind w:firstLine="400"/>
        <w:jc w:val="both"/>
      </w:pPr>
      <w:r>
        <w:t>такие золотые мон</w:t>
      </w:r>
      <w:r>
        <w:t>еты не обладают нумизматической ценностью;</w:t>
      </w:r>
    </w:p>
    <w:p w:rsidR="00000000" w:rsidRDefault="004A0345">
      <w:pPr>
        <w:ind w:firstLine="400"/>
        <w:jc w:val="both"/>
      </w:pPr>
      <w:r>
        <w:t>чистота золотых монет равна или превышает 900 тысячных долей на 1000 долей общей массы (что соответствует 900 пробе, 900 промилле, 90,0 процентам или 21,6 каратам).</w:t>
      </w:r>
    </w:p>
    <w:p w:rsidR="00000000" w:rsidRDefault="004A0345">
      <w:pPr>
        <w:ind w:firstLine="400"/>
        <w:jc w:val="both"/>
      </w:pPr>
      <w:r>
        <w:rPr>
          <w:b/>
          <w:bCs/>
        </w:rPr>
        <w:t>для остального золота:</w:t>
      </w:r>
    </w:p>
    <w:p w:rsidR="00000000" w:rsidRDefault="004A0345">
      <w:pPr>
        <w:ind w:firstLine="400"/>
        <w:jc w:val="both"/>
      </w:pPr>
      <w:r>
        <w:t xml:space="preserve">такое золото изготовлено </w:t>
      </w:r>
      <w:r>
        <w:t>в форме слитка и (или) пластины;</w:t>
      </w:r>
    </w:p>
    <w:p w:rsidR="00000000" w:rsidRDefault="004A0345">
      <w:pPr>
        <w:ind w:firstLine="400"/>
        <w:jc w:val="both"/>
      </w:pPr>
      <w:r>
        <w:t>чистота такого золота равна или превышает 995 тысячных долей на 1000 долей лигатурной массы (что соответствует 995 пробе, 995 промилле, 99,5 процентам или 23,88 каратам).</w:t>
      </w:r>
    </w:p>
    <w:p w:rsidR="00000000" w:rsidRDefault="004A0345">
      <w:pPr>
        <w:ind w:firstLine="400"/>
        <w:jc w:val="both"/>
      </w:pPr>
      <w:r>
        <w:t>Для инвестиционного золота предусматривается освобож</w:t>
      </w:r>
      <w:r>
        <w:t xml:space="preserve">дение от НДС оборотов по реализации </w:t>
      </w:r>
      <w:r>
        <w:rPr>
          <w:b/>
          <w:bCs/>
        </w:rPr>
        <w:t xml:space="preserve">внутри </w:t>
      </w:r>
      <w:r>
        <w:t>Республики Казахстан при соблюдении следующих условий:</w:t>
      </w:r>
    </w:p>
    <w:p w:rsidR="00000000" w:rsidRDefault="004A0345">
      <w:pPr>
        <w:ind w:firstLine="400"/>
        <w:jc w:val="both"/>
      </w:pPr>
      <w:r>
        <w:t>общий вес реализованного в течение налогового периода по налогу на добавленную стоимость инвестиционного золота не превышает 32 тройских унций;</w:t>
      </w:r>
    </w:p>
    <w:p w:rsidR="00000000" w:rsidRDefault="004A0345">
      <w:pPr>
        <w:ind w:firstLine="400"/>
        <w:jc w:val="both"/>
      </w:pPr>
      <w:r>
        <w:t>общая стоимост</w:t>
      </w:r>
      <w:r>
        <w:t>ь реализованного за налоговый период по налогу на добавленную стоимость инвестиционного золота не превышает сумму, сложившуюся путем суммирования сумм, рассчитанных в следующем порядке:</w:t>
      </w:r>
    </w:p>
    <w:p w:rsidR="00000000" w:rsidRDefault="004A0345">
      <w:pPr>
        <w:ind w:firstLine="400"/>
        <w:jc w:val="both"/>
      </w:pPr>
      <w:r>
        <w:t>вес реализованного инвестиционного золота,</w:t>
      </w:r>
    </w:p>
    <w:p w:rsidR="00000000" w:rsidRDefault="004A0345">
      <w:pPr>
        <w:ind w:firstLine="400"/>
        <w:jc w:val="both"/>
      </w:pPr>
      <w:r>
        <w:t>умножить</w:t>
      </w:r>
    </w:p>
    <w:p w:rsidR="00000000" w:rsidRDefault="004A0345">
      <w:pPr>
        <w:ind w:firstLine="400"/>
        <w:jc w:val="both"/>
      </w:pPr>
      <w:r>
        <w:t>на утренний фиксин</w:t>
      </w:r>
      <w:r>
        <w:t>г (котировка цены) золота, который установлен (которая установлена) Лондонской ассоциацией рынка драгоценных металлов на дату реализации,</w:t>
      </w:r>
    </w:p>
    <w:p w:rsidR="00000000" w:rsidRDefault="004A0345">
      <w:pPr>
        <w:ind w:firstLine="400"/>
        <w:jc w:val="both"/>
      </w:pPr>
      <w:r>
        <w:t>умножить</w:t>
      </w:r>
    </w:p>
    <w:p w:rsidR="00000000" w:rsidRDefault="004A0345">
      <w:pPr>
        <w:ind w:firstLine="400"/>
        <w:jc w:val="both"/>
      </w:pPr>
      <w:r>
        <w:t>на рыночный курс обмена валюты, установленный на дату реализации.</w:t>
      </w:r>
    </w:p>
    <w:p w:rsidR="00000000" w:rsidRDefault="004A0345">
      <w:pPr>
        <w:ind w:firstLine="400"/>
        <w:jc w:val="both"/>
      </w:pPr>
      <w:r>
        <w:t>Аналогичные условия предусмотрены для освоб</w:t>
      </w:r>
      <w:r>
        <w:t xml:space="preserve">ождения от НДС </w:t>
      </w:r>
      <w:r>
        <w:rPr>
          <w:b/>
          <w:bCs/>
        </w:rPr>
        <w:t xml:space="preserve">импорта </w:t>
      </w:r>
      <w:r>
        <w:t>инвестиционного золота, за исключением инвестиционного золота, импортируемого Национальным Банком Республики Казахстан, для которого импорт инвестиционного золота будет освобождаться без указанных ограничений.</w:t>
      </w:r>
    </w:p>
    <w:p w:rsidR="00000000" w:rsidRDefault="004A0345">
      <w:pPr>
        <w:ind w:firstLine="400"/>
        <w:jc w:val="both"/>
      </w:pPr>
      <w:r>
        <w:t>С 1 января 2011 года ре</w:t>
      </w:r>
      <w:r>
        <w:t xml:space="preserve">ализацией ограниченного в распоряжении имущества налогоплательщика (налогового агента) в счет налоговой задолженности будет заниматься уполномоченное Правительством Республики Казахстан юридическое лицо, в связи с чем, пункт 1 </w:t>
      </w:r>
      <w:hyperlink r:id="rId8" w:anchor="sub_id=120000" w:history="1">
        <w:r>
          <w:rPr>
            <w:rStyle w:val="a3"/>
          </w:rPr>
          <w:t>статьи 12</w:t>
        </w:r>
      </w:hyperlink>
      <w:r>
        <w:t xml:space="preserve"> Налогового кодекса дополнен подпунктом 41-1), а также внесены изменения в </w:t>
      </w:r>
      <w:hyperlink r:id="rId9" w:anchor="sub_id=6170000" w:history="1">
        <w:r>
          <w:rPr>
            <w:rStyle w:val="a3"/>
          </w:rPr>
          <w:t>статьи 617, 618</w:t>
        </w:r>
      </w:hyperlink>
      <w:r>
        <w:t xml:space="preserve"> Налогового кодек</w:t>
      </w:r>
      <w:r>
        <w:t>са.</w:t>
      </w:r>
    </w:p>
    <w:p w:rsidR="00000000" w:rsidRDefault="004A0345">
      <w:pPr>
        <w:ind w:firstLine="400"/>
        <w:jc w:val="both"/>
      </w:pPr>
      <w:r>
        <w:t>В настоящее время проводится работа по разработке соответствующих проектов постановлений Правительства Республики Казахстан об определении уполномоченного юридического лица и об утверждении Правил реализации ограниченного в распоряжении имущества налог</w:t>
      </w:r>
      <w:r>
        <w:t>оплательщика (налогового агента) в счет налоговой задолженности.</w:t>
      </w:r>
    </w:p>
    <w:p w:rsidR="00000000" w:rsidRDefault="004A0345">
      <w:pPr>
        <w:ind w:firstLine="400"/>
        <w:jc w:val="both"/>
      </w:pPr>
      <w:r>
        <w:t>Начиная с 2011 года по 2014 год, предусмотрено поэтапное повышение ставок акцизов на табачные изделия.</w:t>
      </w:r>
    </w:p>
    <w:p w:rsidR="00000000" w:rsidRDefault="004A0345">
      <w:pPr>
        <w:ind w:firstLine="400"/>
        <w:jc w:val="both"/>
      </w:pPr>
      <w:r>
        <w:t>Введена статья 244-1 «Налогообложение реализации горючесмазочных материалов, осуществляе</w:t>
      </w:r>
      <w:r>
        <w:t>мой аэропортами при заправке воздушных судов иностранных авиакомпаний, выполняющих международные полеты, международные воздушные перевозки», которая вступает в силу с 1 января 2011 года.</w:t>
      </w:r>
    </w:p>
    <w:p w:rsidR="00000000" w:rsidRDefault="004A0345">
      <w:pPr>
        <w:ind w:firstLine="400"/>
        <w:jc w:val="both"/>
      </w:pPr>
      <w:r>
        <w:t>В соответствии с указанной статьей оборот по реализации горючесмазочн</w:t>
      </w:r>
      <w:r>
        <w:t>ых материалов, осуществляемой международными аэропортами при заправке воздушных судов иностранных авиакомпаний, выполняющих международные полеты, международные воздушные перевозки, облагается НДС по нулевой ставке.</w:t>
      </w:r>
    </w:p>
    <w:p w:rsidR="00000000" w:rsidRDefault="004A0345">
      <w:pPr>
        <w:ind w:firstLine="400"/>
        <w:jc w:val="both"/>
      </w:pPr>
      <w:r>
        <w:t>Данной статьей также предусмотрен перечень документов, подтверждающих вышеуказанные обороты, облагаемые по нулевой ставке.</w:t>
      </w:r>
    </w:p>
    <w:p w:rsidR="00000000" w:rsidRDefault="004A0345">
      <w:pPr>
        <w:ind w:firstLine="400"/>
        <w:jc w:val="both"/>
      </w:pPr>
      <w:r>
        <w:t xml:space="preserve">Кроме того, подпунктом 6) пункта 3 статьи указанной статьи предусмотрено, что подтверждением оборотов, облагаемых по нулевой ставке, </w:t>
      </w:r>
      <w:r>
        <w:t>является заключение должностного лица уполномоченного органа в сфере гражданской авиации, участвующего в проведении тематической проверки по подтверждению достоверности сумм НДС, предъявленных к возврату, подтверждающее факт осуществления рейса воздушным с</w:t>
      </w:r>
      <w:r>
        <w:t>удном иностранной авиакомпании и количество реализованных горюче-смазочных материалов (в разрезе авиакомпаний) по форме и порядку, которые утверждены уполномоченным органом по согласованию с уполномоченным органом в сфере гражданской авиации.</w:t>
      </w:r>
    </w:p>
    <w:p w:rsidR="00000000" w:rsidRDefault="004A0345">
      <w:pPr>
        <w:ind w:firstLine="400"/>
        <w:jc w:val="both"/>
      </w:pPr>
      <w:r>
        <w:t>Изменены норм</w:t>
      </w:r>
      <w:r>
        <w:t>ы, касающиеся налога на транспортные средства. В частности, в целях признания структурных подразделений юридических лиц самостоятельными плательщиками налога на транспортные средства, по транспортным средствам, зарегистрированным за таким структурным подра</w:t>
      </w:r>
      <w:r>
        <w:t xml:space="preserve">зделением в соответствии с законодательством Республики Казахстан о транспорте, внесены дополнения в </w:t>
      </w:r>
      <w:hyperlink r:id="rId10" w:anchor="sub_id=3650000" w:history="1">
        <w:r>
          <w:rPr>
            <w:rStyle w:val="a3"/>
          </w:rPr>
          <w:t>пункт 1 статьи 365</w:t>
        </w:r>
      </w:hyperlink>
      <w:r>
        <w:t xml:space="preserve"> Налогового кодекса.</w:t>
      </w:r>
    </w:p>
    <w:p w:rsidR="00000000" w:rsidRDefault="004A0345">
      <w:pPr>
        <w:ind w:firstLine="400"/>
        <w:jc w:val="both"/>
      </w:pPr>
      <w:r>
        <w:t>Для плательщиков единого земель</w:t>
      </w:r>
      <w:r>
        <w:t>ного налога при расчете норматива потребности в грузовых автомобилях, подлежащих освобождению от уплаты налога транспортные средства, учтены также площади под сенокосами и пастбищами.</w:t>
      </w:r>
    </w:p>
    <w:p w:rsidR="00000000" w:rsidRDefault="004A0345">
      <w:pPr>
        <w:ind w:firstLine="400"/>
        <w:jc w:val="both"/>
      </w:pPr>
      <w:r>
        <w:t>В целях исключения «перекрытий налоговых ставок» в результате увеличения</w:t>
      </w:r>
      <w:r>
        <w:t xml:space="preserve"> налога на 7 тенге за каждый кубический сантиметр превышения соответствующей нижней границы объема двигателя согласно пункту 2 </w:t>
      </w:r>
      <w:hyperlink r:id="rId11" w:anchor="sub_id=3670000" w:history="1">
        <w:r>
          <w:rPr>
            <w:rStyle w:val="a3"/>
          </w:rPr>
          <w:t>статьи 367</w:t>
        </w:r>
      </w:hyperlink>
      <w:r>
        <w:t>, внесены изменения в пункт 1 стат</w:t>
      </w:r>
      <w:r>
        <w:t xml:space="preserve">ьи 367 Налогового кодекса по установлению ставок в размере 6 </w:t>
      </w:r>
      <w:hyperlink r:id="rId12" w:history="1">
        <w:r>
          <w:rPr>
            <w:rStyle w:val="a3"/>
          </w:rPr>
          <w:t>МРП</w:t>
        </w:r>
      </w:hyperlink>
      <w:r>
        <w:t xml:space="preserve"> по легковым автомобилям, с объемом двигателя от 2000 куб.см до 2500 куб.см, а также 9 МРП по легковым автомобилям, с объемом дв</w:t>
      </w:r>
      <w:r>
        <w:t>игателя от 2500 куб.см до 3000 куб.см.</w:t>
      </w:r>
    </w:p>
    <w:p w:rsidR="00000000" w:rsidRDefault="004A0345">
      <w:pPr>
        <w:ind w:firstLine="400"/>
        <w:jc w:val="both"/>
      </w:pPr>
      <w:r>
        <w:t>Кроме того, в целях единообразной классификации автомобилей различных водительских категорий для исчисления налога на транспортные средства подпунктом 1-1) пункта 1 статьи 367 Налогового кодекса введены соответствующи</w:t>
      </w:r>
      <w:r>
        <w:t>е нормы.</w:t>
      </w:r>
    </w:p>
    <w:p w:rsidR="00000000" w:rsidRDefault="004A0345">
      <w:pPr>
        <w:ind w:firstLine="400"/>
        <w:jc w:val="both"/>
      </w:pPr>
      <w:r>
        <w:t xml:space="preserve">В целях исключения неоднозначного толкования внесено дополнение в подпункт 1) пункта 1 </w:t>
      </w:r>
      <w:hyperlink r:id="rId13" w:anchor="sub_id=4420000" w:history="1">
        <w:r>
          <w:rPr>
            <w:rStyle w:val="a3"/>
          </w:rPr>
          <w:t>статьи 442</w:t>
        </w:r>
      </w:hyperlink>
      <w:r>
        <w:t xml:space="preserve"> Налогового кодекса, в соответствии с которым плательщики единого</w:t>
      </w:r>
      <w:r>
        <w:t xml:space="preserve"> земельного налога по доходам в виде сумм, полученных из средств государственного бюджета на покрытие затрат (расходов), связанных с их деятельностью по специальному налоговому режиму, не являются плательщиками индивидуального подоходного налога.</w:t>
      </w:r>
    </w:p>
    <w:p w:rsidR="00000000" w:rsidRDefault="004A0345">
      <w:pPr>
        <w:ind w:firstLine="400"/>
        <w:jc w:val="both"/>
      </w:pPr>
      <w:r>
        <w:t>Кроме тог</w:t>
      </w:r>
      <w:r>
        <w:t xml:space="preserve">о, для улучшения администрирования индивидуального подоходного налога с выигрышей участников азартных игр и (или) пари, внесено дополнение в </w:t>
      </w:r>
      <w:hyperlink r:id="rId14" w:anchor="sub_id=120400" w:history="1">
        <w:r>
          <w:rPr>
            <w:rStyle w:val="a3"/>
          </w:rPr>
          <w:t>пункт 4 статьи 12</w:t>
        </w:r>
      </w:hyperlink>
      <w:r>
        <w:t xml:space="preserve"> Закона Респуб</w:t>
      </w:r>
      <w:r>
        <w:t>лики Казахстан от 12 января 2007 года «Об игорном бизнесе», которым установлено дополнительное требование по предъявлению документа, удостоверяющего личность участника азартных игр и (или) пари, при выплате выигрыша.</w:t>
      </w:r>
    </w:p>
    <w:p w:rsidR="00000000" w:rsidRDefault="004A0345">
      <w:pPr>
        <w:ind w:firstLine="400"/>
        <w:jc w:val="both"/>
      </w:pPr>
      <w:r>
        <w:t>В текст статьи 456 Налогового кодекса н</w:t>
      </w:r>
      <w:r>
        <w:t xml:space="preserve">а казахском языке вносится изменение в части размера ставки сбора за регистрацию радиоэлектронных средств и высокочастотных устройств, установленной пунктом 5.3 указанной статьи, в целях приведения в соответствие с текстом на русском языке, при этом текст </w:t>
      </w:r>
      <w:r>
        <w:t>на русском языке не изменяется.</w:t>
      </w:r>
    </w:p>
    <w:p w:rsidR="00000000" w:rsidRDefault="004A0345">
      <w:pPr>
        <w:ind w:firstLine="400"/>
        <w:jc w:val="both"/>
      </w:pPr>
      <w:r>
        <w:t xml:space="preserve">В связи с внедрением стандарта 3G в Республике Казахстан введена ставка платы за использование радиочастотного спектра в размере 2200 МРП за сотовую связь третьего поколения и мобильную связь четвертого поколения (за полосу </w:t>
      </w:r>
      <w:r>
        <w:t>радиочастот шириной на прием 2 МГц/2 МГц на передачу).</w:t>
      </w:r>
    </w:p>
    <w:p w:rsidR="00000000" w:rsidRDefault="004A0345">
      <w:pPr>
        <w:ind w:firstLine="400"/>
      </w:pPr>
      <w:r>
        <w:t> </w:t>
      </w:r>
    </w:p>
    <w:p w:rsidR="00000000" w:rsidRDefault="004A0345">
      <w:pPr>
        <w:ind w:firstLine="40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0345">
            <w:r>
              <w:rPr>
                <w:b/>
                <w:bCs/>
              </w:rPr>
              <w:t>Заместитель Председателя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0345">
            <w:pPr>
              <w:jc w:val="right"/>
            </w:pPr>
            <w:r>
              <w:rPr>
                <w:b/>
                <w:bCs/>
              </w:rPr>
              <w:t>Т. Ботаканова</w:t>
            </w:r>
          </w:p>
        </w:tc>
      </w:tr>
    </w:tbl>
    <w:p w:rsidR="00000000" w:rsidRDefault="004A0345">
      <w:pPr>
        <w:ind w:firstLine="400"/>
      </w:pPr>
      <w:r>
        <w:t> </w:t>
      </w:r>
    </w:p>
    <w:p w:rsidR="00000000" w:rsidRDefault="004A0345">
      <w:pPr>
        <w:ind w:firstLine="400"/>
      </w:pPr>
      <w:r>
        <w:rPr>
          <w:i/>
          <w:iCs/>
        </w:rPr>
        <w:t>Исп: Мырзабаева Б.М. Тел. 71-77-16</w:t>
      </w:r>
    </w:p>
    <w:p w:rsidR="00000000" w:rsidRDefault="004A0345">
      <w:pPr>
        <w:ind w:firstLine="400"/>
      </w:pPr>
      <w:r>
        <w:t> </w:t>
      </w:r>
    </w:p>
    <w:p w:rsidR="00000000" w:rsidRDefault="004A0345">
      <w:pPr>
        <w:ind w:firstLine="400"/>
      </w:pPr>
      <w:r>
        <w:t> </w:t>
      </w:r>
    </w:p>
    <w:p w:rsidR="00000000" w:rsidRDefault="004A0345">
      <w:pPr>
        <w:ind w:firstLine="400"/>
      </w:pPr>
      <w:r>
        <w:t> </w:t>
      </w:r>
    </w:p>
    <w:p w:rsidR="00000000" w:rsidRDefault="004A0345">
      <w:pPr>
        <w:ind w:firstLine="400"/>
      </w:pPr>
      <w:r>
        <w:t> </w:t>
      </w:r>
    </w:p>
    <w:p w:rsidR="00000000" w:rsidRDefault="004A0345">
      <w:pPr>
        <w:ind w:firstLine="400"/>
      </w:pPr>
      <w:r>
        <w:t> </w:t>
      </w:r>
    </w:p>
    <w:p w:rsidR="00000000" w:rsidRDefault="004A0345">
      <w:pPr>
        <w:ind w:firstLine="400"/>
      </w:pPr>
      <w:r>
        <w:t> </w:t>
      </w:r>
    </w:p>
    <w:p w:rsidR="00000000" w:rsidRDefault="004A0345">
      <w:pPr>
        <w:ind w:firstLine="400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0345" w:rsidRDefault="004A0345" w:rsidP="004A0345">
      <w:r>
        <w:separator/>
      </w:r>
    </w:p>
  </w:endnote>
  <w:endnote w:type="continuationSeparator" w:id="0">
    <w:p w:rsidR="004A0345" w:rsidRDefault="004A0345" w:rsidP="004A03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345" w:rsidRDefault="004A03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345" w:rsidRDefault="004A03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345" w:rsidRDefault="004A03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0345" w:rsidRDefault="004A0345" w:rsidP="004A0345">
      <w:r>
        <w:separator/>
      </w:r>
    </w:p>
  </w:footnote>
  <w:footnote w:type="continuationSeparator" w:id="0">
    <w:p w:rsidR="004A0345" w:rsidRDefault="004A0345" w:rsidP="004A03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345" w:rsidRDefault="004A03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345" w:rsidRDefault="004A0345" w:rsidP="004A03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0345" w:rsidRDefault="004A0345" w:rsidP="004A03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Налогового комитета Министерства финансов Республики Казахстан от 14 декабря 2010 года № НК-21-57/14902 «Относительно внесенных изменений и дополнений в Налоговый кодекс РК Законом РК от 26 ноября 2010 года № 356-IV»</w:t>
    </w:r>
  </w:p>
  <w:p w:rsidR="004A0345" w:rsidRPr="004A0345" w:rsidRDefault="004A0345" w:rsidP="004A03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14.12.2010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345" w:rsidRDefault="004A03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0345"/>
    <w:rsid w:val="004A0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03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03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03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03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03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03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03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03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6217" TargetMode="External"/><Relationship Id="rId13" Type="http://schemas.openxmlformats.org/officeDocument/2006/relationships/hyperlink" Target="http://online.zakon.kz/Document/?doc_id=3036621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858507" TargetMode="External"/><Relationship Id="rId12" Type="http://schemas.openxmlformats.org/officeDocument/2006/relationships/hyperlink" Target="http://online.zakon.kz/Document/?doc_id=102667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621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36621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6217" TargetMode="External"/><Relationship Id="rId14" Type="http://schemas.openxmlformats.org/officeDocument/2006/relationships/hyperlink" Target="http://online.zakon.kz/Document/?doc_id=3008589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969</Words>
  <Characters>7514</Characters>
  <Application>Microsoft Office Word</Application>
  <DocSecurity>0</DocSecurity>
  <Lines>62</Lines>
  <Paragraphs>16</Paragraphs>
  <ScaleCrop>false</ScaleCrop>
  <Company/>
  <LinksUpToDate>false</LinksUpToDate>
  <CharactersWithSpaces>8467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Налогового комитета Министерства финансов Республики Казахстан от 14 декабря 2010 года № НК-21-57/14902 «Относительно внесенных изменений и дополнений в Налоговый кодекс РК Законом РК от 26 ноября 2010 года № 356-IV» (©Paragraph 2023)</dc:title>
  <dc:subject/>
  <dc:creator>Сергей М</dc:creator>
  <cp:keywords/>
  <dc:description/>
  <cp:lastModifiedBy>Сергей М</cp:lastModifiedBy>
  <cp:revision>2</cp:revision>
  <dcterms:created xsi:type="dcterms:W3CDTF">2023-12-01T06:48:00Z</dcterms:created>
  <dcterms:modified xsi:type="dcterms:W3CDTF">2023-12-01T06:48:00Z</dcterms:modified>
</cp:coreProperties>
</file>