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A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7 апреля 2011 года № 608 «О внесении изменений в единую Товарную номенклатуру внешнеэкономической деятельности Таможенного союза и в Единый таможенный тариф Таможенного союза в отношении частей чугунных литых или сталь</w:t>
      </w:r>
      <w:r>
        <w:rPr>
          <w:rStyle w:val="s0"/>
          <w:b/>
          <w:bCs/>
        </w:rPr>
        <w:t>ных литых для турбин гидравлических» (г. Москва) (утратило силу)</w:t>
      </w:r>
    </w:p>
    <w:p w:rsidR="00000000" w:rsidRDefault="00761AB3">
      <w:r>
        <w:t> </w:t>
      </w:r>
    </w:p>
    <w:p w:rsidR="00000000" w:rsidRDefault="00761AB3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25 апреля 2011 г.</w:t>
      </w:r>
    </w:p>
    <w:p w:rsidR="00000000" w:rsidRDefault="00761AB3">
      <w:r>
        <w:t> </w:t>
      </w:r>
    </w:p>
    <w:p w:rsidR="00000000" w:rsidRDefault="00761AB3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761AB3">
      <w:pPr>
        <w:ind w:firstLine="400"/>
        <w:jc w:val="both"/>
      </w:pPr>
      <w:r>
        <w:rPr>
          <w:rStyle w:val="s0"/>
        </w:rPr>
        <w:t> </w:t>
      </w:r>
    </w:p>
    <w:p w:rsidR="00000000" w:rsidRDefault="00761AB3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9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761AB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AB3" w:rsidRDefault="00761AB3" w:rsidP="00761AB3">
      <w:r>
        <w:separator/>
      </w:r>
    </w:p>
  </w:endnote>
  <w:endnote w:type="continuationSeparator" w:id="0">
    <w:p w:rsidR="00761AB3" w:rsidRDefault="00761AB3" w:rsidP="00761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AB3" w:rsidRDefault="00761AB3" w:rsidP="00761AB3">
      <w:r>
        <w:separator/>
      </w:r>
    </w:p>
  </w:footnote>
  <w:footnote w:type="continuationSeparator" w:id="0">
    <w:p w:rsidR="00761AB3" w:rsidRDefault="00761AB3" w:rsidP="00761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 w:rsidP="00761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AB3" w:rsidRPr="00761AB3" w:rsidRDefault="00761AB3" w:rsidP="00761A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07.04.2011 № 608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AB3" w:rsidRDefault="00761A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AB3"/>
    <w:rsid w:val="00761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A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A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A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A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A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07.04.2011 № 608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2024-04-13T22:52:00Z</dcterms:created>
  <dcterms:modified xsi:type="dcterms:W3CDTF">2024-04-13T22:52:00Z</dcterms:modified>
</cp:coreProperties>
</file>