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23917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Решение Комиссии Таможенного союза от 22 июня 2011 года № 706 «О мерах по защите экономических интересов производителей нержавеющих труб в Таможенном союзе» (г. Москва) (с изменениями по состоянию на 16.08.2012 г.) (утратил силу)</w:t>
      </w:r>
    </w:p>
    <w:p w:rsidR="00000000" w:rsidRDefault="00123917">
      <w:r>
        <w:t> </w:t>
      </w:r>
    </w:p>
    <w:p w:rsidR="00000000" w:rsidRDefault="00123917">
      <w:pPr>
        <w:ind w:firstLine="400"/>
        <w:jc w:val="both"/>
      </w:pPr>
      <w:r>
        <w:rPr>
          <w:rStyle w:val="s0"/>
        </w:rPr>
        <w:t xml:space="preserve">Опубликовано на </w:t>
      </w:r>
      <w:hyperlink r:id="rId7" w:history="1">
        <w:r>
          <w:rPr>
            <w:rStyle w:val="a3"/>
          </w:rPr>
          <w:t>сайте</w:t>
        </w:r>
      </w:hyperlink>
      <w:r>
        <w:rPr>
          <w:rStyle w:val="s0"/>
        </w:rPr>
        <w:t xml:space="preserve"> Комиссии Таможенного союза 21 июля 2011 г.; </w:t>
      </w:r>
      <w:r>
        <w:rPr>
          <w:rStyle w:val="s01"/>
        </w:rPr>
        <w:t>«Казахстанская права» от 27 августа 2011 г. № 272-274 (26693-26695)</w:t>
      </w:r>
    </w:p>
    <w:p w:rsidR="00000000" w:rsidRDefault="00123917">
      <w:pPr>
        <w:ind w:firstLine="400"/>
        <w:jc w:val="both"/>
      </w:pPr>
      <w:r>
        <w:rPr>
          <w:rStyle w:val="s0"/>
        </w:rPr>
        <w:t> </w:t>
      </w:r>
    </w:p>
    <w:p w:rsidR="00000000" w:rsidRDefault="00123917">
      <w:pPr>
        <w:ind w:firstLine="400"/>
        <w:jc w:val="both"/>
      </w:pPr>
      <w:hyperlink r:id="rId8" w:anchor="sub_id=80000" w:history="1">
        <w:r>
          <w:rPr>
            <w:rStyle w:val="a3"/>
          </w:rPr>
          <w:t>Вступило в силу</w:t>
        </w:r>
      </w:hyperlink>
      <w:r>
        <w:rPr>
          <w:rStyle w:val="s0"/>
        </w:rPr>
        <w:t xml:space="preserve"> по истечении тридцати календарных дней после дня официального опубликования</w:t>
      </w:r>
    </w:p>
    <w:p w:rsidR="00000000" w:rsidRDefault="00123917">
      <w:pPr>
        <w:ind w:firstLine="400"/>
        <w:jc w:val="both"/>
      </w:pPr>
      <w:r>
        <w:t> </w:t>
      </w:r>
    </w:p>
    <w:p w:rsidR="00000000" w:rsidRDefault="00123917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9" w:history="1">
        <w:r>
          <w:rPr>
            <w:rStyle w:val="a3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23 авгус</w:t>
      </w:r>
      <w:r>
        <w:rPr>
          <w:rStyle w:val="s0"/>
        </w:rPr>
        <w:t>та 2012 года № 143</w:t>
      </w:r>
    </w:p>
    <w:p w:rsidR="00000000" w:rsidRDefault="00123917">
      <w:pPr>
        <w:ind w:firstLine="400"/>
        <w:jc w:val="both"/>
      </w:pPr>
      <w:r>
        <w:t> </w:t>
      </w:r>
    </w:p>
    <w:p w:rsidR="00000000" w:rsidRDefault="00123917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123917">
      <w:pPr>
        <w:ind w:firstLine="400"/>
        <w:jc w:val="both"/>
      </w:pPr>
      <w:r>
        <w:rPr>
          <w:rStyle w:val="s0"/>
        </w:rPr>
        <w:t> </w:t>
      </w:r>
    </w:p>
    <w:p w:rsidR="00000000" w:rsidRDefault="00123917">
      <w:pPr>
        <w:ind w:firstLine="400"/>
        <w:jc w:val="both"/>
      </w:pPr>
      <w:hyperlink r:id="rId10" w:anchor="sub_id=1600" w:history="1">
        <w:r>
          <w:rPr>
            <w:rStyle w:val="a3"/>
          </w:rPr>
          <w:t>Решением</w:t>
        </w:r>
      </w:hyperlink>
      <w:r>
        <w:rPr>
          <w:rStyle w:val="s0"/>
        </w:rPr>
        <w:t xml:space="preserve"> Комиссии Таможенного союза от 09.12.11 г. № 859 (вступили в силу с 1 января 2012 года);</w:t>
      </w:r>
    </w:p>
    <w:p w:rsidR="00000000" w:rsidRDefault="00123917">
      <w:pPr>
        <w:ind w:firstLine="400"/>
        <w:jc w:val="both"/>
      </w:pPr>
      <w:hyperlink r:id="rId11" w:anchor="sub_id=500" w:history="1">
        <w:r>
          <w:rPr>
            <w:rStyle w:val="a3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16.08.12 г. № 125 (см. </w:t>
      </w:r>
      <w:hyperlink r:id="rId12" w:anchor="sub_id=3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введения в действие).</w:t>
      </w:r>
    </w:p>
    <w:p w:rsidR="00000000" w:rsidRDefault="00123917">
      <w:pPr>
        <w:ind w:firstLine="400"/>
        <w:jc w:val="both"/>
      </w:pPr>
      <w:r>
        <w:t> </w:t>
      </w:r>
    </w:p>
    <w:p w:rsidR="00000000" w:rsidRDefault="00123917">
      <w:pPr>
        <w:ind w:firstLine="400"/>
        <w:jc w:val="both"/>
      </w:pPr>
      <w:r>
        <w:rPr>
          <w:rStyle w:val="s0"/>
        </w:rPr>
        <w:t> </w:t>
      </w:r>
    </w:p>
    <w:p w:rsidR="00000000" w:rsidRDefault="00123917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123917">
      <w:pPr>
        <w:ind w:firstLine="400"/>
        <w:jc w:val="both"/>
      </w:pPr>
      <w:r>
        <w:rPr>
          <w:rStyle w:val="s0"/>
        </w:rPr>
        <w:t> </w:t>
      </w:r>
    </w:p>
    <w:p w:rsidR="00000000" w:rsidRDefault="00123917">
      <w:pPr>
        <w:ind w:firstLine="400"/>
        <w:jc w:val="both"/>
      </w:pPr>
      <w:hyperlink r:id="rId13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09.12.11 г.</w:t>
      </w:r>
    </w:p>
    <w:p w:rsidR="00000000" w:rsidRDefault="00123917">
      <w:pPr>
        <w:ind w:firstLine="400"/>
        <w:jc w:val="both"/>
      </w:pPr>
      <w:hyperlink r:id="rId14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16.08.12 г.</w:t>
      </w:r>
    </w:p>
    <w:p w:rsidR="00000000" w:rsidRDefault="00123917">
      <w:pPr>
        <w:ind w:firstLine="400"/>
        <w:jc w:val="both"/>
      </w:pPr>
      <w:r>
        <w:t> </w:t>
      </w:r>
    </w:p>
    <w:p w:rsidR="00000000" w:rsidRDefault="00123917">
      <w:pPr>
        <w:ind w:firstLine="400"/>
        <w:jc w:val="both"/>
      </w:pPr>
      <w:r>
        <w:rPr>
          <w:rStyle w:val="s0"/>
        </w:rPr>
        <w:t> </w:t>
      </w:r>
    </w:p>
    <w:p w:rsidR="00000000" w:rsidRDefault="00123917">
      <w:pPr>
        <w:ind w:firstLine="400"/>
        <w:jc w:val="both"/>
      </w:pPr>
      <w:r>
        <w:t> </w:t>
      </w:r>
    </w:p>
    <w:p w:rsidR="00000000" w:rsidRDefault="00123917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23917" w:rsidRDefault="00123917" w:rsidP="00123917">
      <w:r>
        <w:separator/>
      </w:r>
    </w:p>
  </w:endnote>
  <w:endnote w:type="continuationSeparator" w:id="0">
    <w:p w:rsidR="00123917" w:rsidRDefault="00123917" w:rsidP="001239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3917" w:rsidRDefault="0012391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3917" w:rsidRDefault="0012391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3917" w:rsidRDefault="0012391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23917" w:rsidRDefault="00123917" w:rsidP="00123917">
      <w:r>
        <w:separator/>
      </w:r>
    </w:p>
  </w:footnote>
  <w:footnote w:type="continuationSeparator" w:id="0">
    <w:p w:rsidR="00123917" w:rsidRDefault="00123917" w:rsidP="0012391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3917" w:rsidRDefault="0012391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3917" w:rsidRDefault="00123917" w:rsidP="0012391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23917" w:rsidRPr="00123917" w:rsidRDefault="00123917" w:rsidP="0012391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РЕШЕНИИ КОМИССИИ ТАМОЖЕННОГО СОЮЗА ОТ 22.06.2011 № 706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3917" w:rsidRDefault="0012391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23917"/>
    <w:rsid w:val="001239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2391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2391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2391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2391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2391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2391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2391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2391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34522" TargetMode="External"/><Relationship Id="rId13" Type="http://schemas.openxmlformats.org/officeDocument/2006/relationships/hyperlink" Target="http://online.zakon.kz/Document/?doc_id=31102351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www.tsouz.ru/KTS/Pages/KTS.aspx" TargetMode="External"/><Relationship Id="rId12" Type="http://schemas.openxmlformats.org/officeDocument/2006/relationships/hyperlink" Target="http://online.zakon.kz/Document/?doc_id=31242686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242686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1093853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249071" TargetMode="External"/><Relationship Id="rId14" Type="http://schemas.openxmlformats.org/officeDocument/2006/relationships/hyperlink" Target="http://online.zakon.kz/Document/?doc_id=31244160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135</Words>
  <Characters>1400</Characters>
  <Application>Microsoft Office Word</Application>
  <DocSecurity>0</DocSecurity>
  <Lines>11</Lines>
  <Paragraphs>3</Paragraphs>
  <ScaleCrop>false</ScaleCrop>
  <Company>SPecialiST RePack</Company>
  <LinksUpToDate>false</LinksUpToDate>
  <CharactersWithSpaces>1532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РЕШЕНИИ КОМИССИИ ТАМОЖЕННОГО СОЮЗА ОТ 22.06.2011 № 706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2024-04-25T15:38:00Z</dcterms:created>
  <dcterms:modified xsi:type="dcterms:W3CDTF">2024-04-25T15:38:00Z</dcterms:modified>
</cp:coreProperties>
</file>