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03EFF">
      <w:pPr>
        <w:pStyle w:val="pj"/>
      </w:pPr>
      <w:bookmarkStart w:id="0" w:name="_GoBack"/>
      <w:bookmarkEnd w:id="0"/>
      <w:r>
        <w:rPr>
          <w:rStyle w:val="s0"/>
          <w:b/>
          <w:bCs/>
        </w:rPr>
        <w:t>ТР ТС 001/2011 «О безопасности железнодорожного подвижного состава» (утвержден Решением Комиссии Таможенного союза от 15 июля 2011 года № 710) (с изменениями по состоянию на 08.04.2023 г.)</w:t>
      </w:r>
    </w:p>
    <w:p w:rsidR="00000000" w:rsidRDefault="00503EFF">
      <w:pPr>
        <w:pStyle w:val="pj"/>
      </w:pPr>
      <w:r>
        <w:rPr>
          <w:rStyle w:val="s0"/>
          <w:b/>
          <w:bCs/>
        </w:rPr>
        <w:t> </w:t>
      </w:r>
    </w:p>
    <w:p w:rsidR="00000000" w:rsidRDefault="00503EFF">
      <w:pPr>
        <w:pStyle w:val="pj"/>
      </w:pPr>
      <w:r>
        <w:rPr>
          <w:rStyle w:val="s0"/>
        </w:rPr>
        <w:t xml:space="preserve">Опубликован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Комиссии Таможенного союза 2 августа 2011 г.</w:t>
      </w:r>
    </w:p>
    <w:p w:rsidR="00000000" w:rsidRDefault="00503EFF">
      <w:pPr>
        <w:pStyle w:val="pj"/>
      </w:pPr>
      <w:r>
        <w:rPr>
          <w:rStyle w:val="s0"/>
        </w:rPr>
        <w:t> </w:t>
      </w:r>
    </w:p>
    <w:p w:rsidR="00000000" w:rsidRDefault="00503EFF">
      <w:pPr>
        <w:pStyle w:val="pj"/>
      </w:pPr>
      <w:hyperlink r:id="rId8" w:anchor="sub_id=300" w:history="1">
        <w:r>
          <w:rPr>
            <w:rStyle w:val="a4"/>
          </w:rPr>
          <w:t>Вступил в силу</w:t>
        </w:r>
      </w:hyperlink>
      <w:r>
        <w:rPr>
          <w:rStyle w:val="s0"/>
        </w:rPr>
        <w:t xml:space="preserve"> через три года с даты официального опубликования</w:t>
      </w:r>
    </w:p>
    <w:p w:rsidR="00000000" w:rsidRDefault="00503EFF">
      <w:pPr>
        <w:pStyle w:val="pj"/>
      </w:pPr>
      <w:r>
        <w:rPr>
          <w:rStyle w:val="s0"/>
        </w:rPr>
        <w:t> </w:t>
      </w:r>
    </w:p>
    <w:p w:rsidR="00000000" w:rsidRDefault="00503EFF">
      <w:pPr>
        <w:pStyle w:val="pj"/>
      </w:pPr>
      <w:r>
        <w:rPr>
          <w:rStyle w:val="s0"/>
        </w:rPr>
        <w:t>Внесены изменения:</w:t>
      </w:r>
    </w:p>
    <w:p w:rsidR="00000000" w:rsidRDefault="00503EFF">
      <w:pPr>
        <w:pStyle w:val="pj"/>
      </w:pPr>
      <w:r>
        <w:rPr>
          <w:rStyle w:val="s0"/>
        </w:rPr>
        <w:t> </w:t>
      </w:r>
    </w:p>
    <w:p w:rsidR="00000000" w:rsidRDefault="00503EFF">
      <w:pPr>
        <w:pStyle w:val="pj"/>
      </w:pPr>
      <w:hyperlink r:id="rId9" w:anchor="sub_id=17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Комиссии Таможенного союза от 09.12.11 г. № 859 (вступили в силу с 1 января 2012 года);</w:t>
      </w:r>
    </w:p>
    <w:p w:rsidR="00000000" w:rsidRDefault="00503EFF">
      <w:pPr>
        <w:pStyle w:val="pj"/>
      </w:pPr>
      <w:hyperlink r:id="rId10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</w:t>
      </w:r>
      <w:r>
        <w:rPr>
          <w:rStyle w:val="s0"/>
        </w:rPr>
        <w:t>й экономической комиссии от 14.09.21 г. № 90 (</w:t>
      </w:r>
      <w:hyperlink r:id="rId11" w:anchor="sub_id=30" w:history="1">
        <w:r>
          <w:rPr>
            <w:rStyle w:val="a4"/>
          </w:rPr>
          <w:t>вступили в силу</w:t>
        </w:r>
      </w:hyperlink>
      <w:r>
        <w:rPr>
          <w:rStyle w:val="s0"/>
        </w:rPr>
        <w:t xml:space="preserve"> с 6 апреля 2022 г.; 8 апреля 2023 г.);</w:t>
      </w:r>
    </w:p>
    <w:p w:rsidR="00000000" w:rsidRDefault="00503EFF">
      <w:pPr>
        <w:pStyle w:val="pj"/>
      </w:pPr>
      <w:hyperlink r:id="rId12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</w:t>
      </w:r>
      <w:r>
        <w:rPr>
          <w:rStyle w:val="s0"/>
        </w:rPr>
        <w:t>овета Евразийской экономической комиссии от 25.11.22 г. № 177 (</w:t>
      </w:r>
      <w:hyperlink r:id="rId13" w:anchor="sub_id=20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6 января 2023 г.).</w:t>
      </w:r>
    </w:p>
    <w:p w:rsidR="00000000" w:rsidRDefault="00503EFF">
      <w:pPr>
        <w:pStyle w:val="pj"/>
      </w:pPr>
      <w:r>
        <w:t> </w:t>
      </w:r>
    </w:p>
    <w:p w:rsidR="00000000" w:rsidRDefault="00503EFF">
      <w:pPr>
        <w:pStyle w:val="pj"/>
      </w:pPr>
      <w:r>
        <w:rPr>
          <w:rStyle w:val="s0"/>
        </w:rPr>
        <w:t>Предыдущие редакции:</w:t>
      </w:r>
    </w:p>
    <w:p w:rsidR="00000000" w:rsidRDefault="00503EFF">
      <w:pPr>
        <w:pStyle w:val="pj"/>
      </w:pPr>
      <w:r>
        <w:rPr>
          <w:rStyle w:val="s0"/>
        </w:rPr>
        <w:t> </w:t>
      </w:r>
    </w:p>
    <w:p w:rsidR="00000000" w:rsidRDefault="00503EFF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09.12.11 г.</w:t>
      </w:r>
    </w:p>
    <w:p w:rsidR="00000000" w:rsidRDefault="00503EFF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14.09.21 г.</w:t>
      </w:r>
    </w:p>
    <w:p w:rsidR="00000000" w:rsidRDefault="00503EFF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25.11.22 г.</w:t>
      </w:r>
    </w:p>
    <w:p w:rsidR="00000000" w:rsidRDefault="00503EFF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14.09.21 г. (вступили в силу с 8 апреля 2023 г.)</w:t>
      </w:r>
    </w:p>
    <w:p w:rsidR="00000000" w:rsidRDefault="00503EFF">
      <w:pPr>
        <w:pStyle w:val="pj"/>
      </w:pPr>
      <w:r>
        <w:t> </w:t>
      </w:r>
    </w:p>
    <w:p w:rsidR="00000000" w:rsidRDefault="00503EFF">
      <w:pPr>
        <w:pStyle w:val="pj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3EFF" w:rsidRDefault="00503EFF" w:rsidP="00503EFF">
      <w:r>
        <w:separator/>
      </w:r>
    </w:p>
  </w:endnote>
  <w:endnote w:type="continuationSeparator" w:id="0">
    <w:p w:rsidR="00503EFF" w:rsidRDefault="00503EFF" w:rsidP="00503E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3EFF" w:rsidRDefault="00503EF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3EFF" w:rsidRDefault="00503EF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3EFF" w:rsidRDefault="00503EF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3EFF" w:rsidRDefault="00503EFF" w:rsidP="00503EFF">
      <w:r>
        <w:separator/>
      </w:r>
    </w:p>
  </w:footnote>
  <w:footnote w:type="continuationSeparator" w:id="0">
    <w:p w:rsidR="00503EFF" w:rsidRDefault="00503EFF" w:rsidP="00503E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3EFF" w:rsidRDefault="00503EF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3EFF" w:rsidRDefault="00503EFF" w:rsidP="00503EF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03EFF" w:rsidRPr="00503EFF" w:rsidRDefault="00503EFF" w:rsidP="00503EF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ТР ТС 001/2011 «О безопасности железнодорожного подвижного состава» (утвержден Решением Комиссии Таможенного союза от 15 июля 2011 года № 710) (с изменениями по состоянию на 08.04.2023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3EFF" w:rsidRDefault="00503EF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03EFF"/>
    <w:rsid w:val="00503E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03EF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03EF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03EF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03EF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03EF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03EF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03EF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03EF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36214" TargetMode="External"/><Relationship Id="rId13" Type="http://schemas.openxmlformats.org/officeDocument/2006/relationships/hyperlink" Target="http://online.zakon.kz/Document/?doc_id=37460010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www.tsouz.ru/KTS/Pages/KTS.aspx" TargetMode="External"/><Relationship Id="rId12" Type="http://schemas.openxmlformats.org/officeDocument/2006/relationships/hyperlink" Target="http://online.zakon.kz/Document/?doc_id=37460010" TargetMode="External"/><Relationship Id="rId17" Type="http://schemas.openxmlformats.org/officeDocument/2006/relationships/hyperlink" Target="http://online.zakon.kz/Document/?doc_id=39495113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842979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768024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102352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8768024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93853" TargetMode="External"/><Relationship Id="rId14" Type="http://schemas.openxmlformats.org/officeDocument/2006/relationships/hyperlink" Target="http://online.zakon.kz/Document/?doc_id=31102352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148</Words>
  <Characters>1627</Characters>
  <Application>Microsoft Office Word</Application>
  <DocSecurity>0</DocSecurity>
  <Lines>13</Lines>
  <Paragraphs>3</Paragraphs>
  <ScaleCrop>false</ScaleCrop>
  <Company/>
  <LinksUpToDate>false</LinksUpToDate>
  <CharactersWithSpaces>1772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ТР ТС 001/2011 «О безопасности железнодорожного подвижного состава» (утвержден Решением Комиссии Таможенного союза от 15 июля 2011 года № 710) (с изменениями по состоянию на 08.04.2023 г.) (©Paragraph 2023)</dc:title>
  <dc:subject/>
  <dc:creator>Сергей М</dc:creator>
  <cp:keywords/>
  <dc:description/>
  <cp:lastModifiedBy>Сергей М</cp:lastModifiedBy>
  <cp:revision>2</cp:revision>
  <dcterms:created xsi:type="dcterms:W3CDTF">2023-11-28T14:53:00Z</dcterms:created>
  <dcterms:modified xsi:type="dcterms:W3CDTF">2023-11-28T14:53:00Z</dcterms:modified>
</cp:coreProperties>
</file>