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24A9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ГОСТ 11022-95 (ИСО 1171-97) «Топливо твердое минеральное. Методы определения зольности» (изм. 1) (утратил силу)</w:t>
      </w:r>
    </w:p>
    <w:p w:rsidR="00000000" w:rsidRDefault="00324A94">
      <w:pPr>
        <w:jc w:val="center"/>
      </w:pPr>
      <w:r>
        <w:rPr>
          <w:rStyle w:val="s1"/>
        </w:rPr>
        <w:t> </w:t>
      </w:r>
    </w:p>
    <w:p w:rsidR="00000000" w:rsidRDefault="00324A94">
      <w:pPr>
        <w:jc w:val="center"/>
      </w:pPr>
      <w:r>
        <w:rPr>
          <w:rStyle w:val="s1"/>
        </w:rPr>
        <w:t>Предисловие</w:t>
      </w:r>
    </w:p>
    <w:p w:rsidR="00000000" w:rsidRDefault="00324A94">
      <w:pPr>
        <w:ind w:firstLine="400"/>
        <w:jc w:val="both"/>
      </w:pPr>
      <w:r>
        <w:rPr>
          <w:rStyle w:val="s0"/>
        </w:rPr>
        <w:t> </w:t>
      </w:r>
    </w:p>
    <w:p w:rsidR="00000000" w:rsidRDefault="00324A94">
      <w:pPr>
        <w:ind w:firstLine="400"/>
        <w:jc w:val="both"/>
      </w:pPr>
      <w:r>
        <w:rPr>
          <w:rStyle w:val="s0"/>
        </w:rPr>
        <w:t>1 РАЗРАБОТАН МТК 179 «Уголь и продукты его переработки», Комплексным научно-исследовательским и проектно-конструкторским институтом обогащения твердых горючих ископаемых Минтопэнерго Российской Федерации (ИОТТ)</w:t>
      </w:r>
    </w:p>
    <w:p w:rsidR="00000000" w:rsidRDefault="00324A94">
      <w:pPr>
        <w:ind w:firstLine="400"/>
        <w:jc w:val="both"/>
      </w:pPr>
      <w:r>
        <w:rPr>
          <w:rStyle w:val="s0"/>
        </w:rPr>
        <w:t>ВНЕСЕН Госстандартом России</w:t>
      </w:r>
    </w:p>
    <w:p w:rsidR="00000000" w:rsidRDefault="00324A94">
      <w:pPr>
        <w:ind w:firstLine="400"/>
        <w:jc w:val="both"/>
      </w:pPr>
      <w:r>
        <w:rPr>
          <w:rStyle w:val="s0"/>
        </w:rPr>
        <w:t>2 ПРИНЯТ Межгосуд</w:t>
      </w:r>
      <w:r>
        <w:rPr>
          <w:rStyle w:val="s0"/>
        </w:rPr>
        <w:t>арственным Советом по стандартизации, метрологии и сертификации (протокол № 8-95 от 12 октября 1995 г.)</w:t>
      </w:r>
    </w:p>
    <w:p w:rsidR="00000000" w:rsidRDefault="00324A94">
      <w:pPr>
        <w:ind w:firstLine="400"/>
        <w:jc w:val="both"/>
      </w:pPr>
      <w:r>
        <w:rPr>
          <w:rStyle w:val="s0"/>
        </w:rPr>
        <w:t>За принятие проголосовали:</w:t>
      </w:r>
    </w:p>
    <w:p w:rsidR="00000000" w:rsidRDefault="00324A94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38"/>
        <w:gridCol w:w="4933"/>
      </w:tblGrid>
      <w:tr w:rsidR="00000000">
        <w:tc>
          <w:tcPr>
            <w:tcW w:w="1106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A94">
            <w:pPr>
              <w:jc w:val="center"/>
            </w:pPr>
            <w:r>
              <w:t>Наименование государств</w:t>
            </w:r>
            <w:r>
              <w:t>а</w:t>
            </w:r>
          </w:p>
        </w:tc>
        <w:tc>
          <w:tcPr>
            <w:tcW w:w="117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A94">
            <w:pPr>
              <w:jc w:val="center"/>
            </w:pPr>
            <w:r>
              <w:t>Наименование национального органа по стандартизаци</w:t>
            </w:r>
            <w:r>
              <w:t>и</w:t>
            </w:r>
          </w:p>
        </w:tc>
      </w:tr>
      <w:tr w:rsidR="00000000">
        <w:tc>
          <w:tcPr>
            <w:tcW w:w="110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A94">
            <w:pPr>
              <w:pStyle w:val="msonormals11"/>
            </w:pPr>
            <w:r>
              <w:t>Азербайджанская Республик</w:t>
            </w:r>
            <w:r>
              <w:t>а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A94">
            <w:pPr>
              <w:pStyle w:val="msonormals11"/>
            </w:pPr>
            <w:r>
              <w:t>Азгосстапдар</w:t>
            </w:r>
            <w:r>
              <w:t>т</w:t>
            </w:r>
          </w:p>
        </w:tc>
      </w:tr>
      <w:tr w:rsidR="00000000">
        <w:tc>
          <w:tcPr>
            <w:tcW w:w="110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A94">
            <w:pPr>
              <w:pStyle w:val="msonormals11"/>
            </w:pPr>
            <w:r>
              <w:t>Республика Армени</w:t>
            </w:r>
            <w:r>
              <w:t>я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A94">
            <w:pPr>
              <w:pStyle w:val="msonormals11"/>
            </w:pPr>
            <w:r>
              <w:t>Армгосстандар</w:t>
            </w:r>
            <w:r>
              <w:t>т</w:t>
            </w:r>
          </w:p>
        </w:tc>
      </w:tr>
      <w:tr w:rsidR="00000000">
        <w:tc>
          <w:tcPr>
            <w:tcW w:w="110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A94">
            <w:pPr>
              <w:pStyle w:val="msonormals11"/>
            </w:pPr>
            <w:r>
              <w:t>Республика Беларус</w:t>
            </w:r>
            <w:r>
              <w:t>ь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A94">
            <w:pPr>
              <w:pStyle w:val="msonormals11"/>
            </w:pPr>
            <w:r>
              <w:t>Госстандарт Республики Беларус</w:t>
            </w:r>
            <w:r>
              <w:t>ь</w:t>
            </w:r>
          </w:p>
        </w:tc>
      </w:tr>
      <w:tr w:rsidR="00000000">
        <w:tc>
          <w:tcPr>
            <w:tcW w:w="110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A94">
            <w:pPr>
              <w:pStyle w:val="1"/>
              <w:spacing w:before="0" w:beforeAutospacing="0" w:after="0" w:afterAutospacing="0"/>
              <w:rPr>
                <w:rFonts w:eastAsia="Times New Roman"/>
              </w:rPr>
            </w:pPr>
            <w:r>
              <w:rPr>
                <w:rFonts w:eastAsia="Times New Roman"/>
                <w:sz w:val="24"/>
                <w:szCs w:val="24"/>
              </w:rPr>
              <w:t>Республика Казахста</w:t>
            </w:r>
            <w:r>
              <w:rPr>
                <w:rFonts w:eastAsia="Times New Roman"/>
                <w:sz w:val="24"/>
                <w:szCs w:val="24"/>
              </w:rPr>
              <w:t>н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A94">
            <w:pPr>
              <w:pStyle w:val="msonormals11"/>
            </w:pPr>
            <w:r>
              <w:t>Госстандарт Республики Казахста</w:t>
            </w:r>
            <w:r>
              <w:t>н</w:t>
            </w:r>
          </w:p>
        </w:tc>
      </w:tr>
      <w:tr w:rsidR="00000000">
        <w:tc>
          <w:tcPr>
            <w:tcW w:w="110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A94">
            <w:pPr>
              <w:pStyle w:val="msonormals11"/>
            </w:pPr>
            <w:r>
              <w:t>Кыргызская Республик</w:t>
            </w:r>
            <w:r>
              <w:t>а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A94">
            <w:pPr>
              <w:pStyle w:val="msonormals11"/>
            </w:pPr>
            <w:r>
              <w:t>Кыргызстандар</w:t>
            </w:r>
            <w:r>
              <w:t>т</w:t>
            </w:r>
          </w:p>
        </w:tc>
      </w:tr>
      <w:tr w:rsidR="00000000">
        <w:tc>
          <w:tcPr>
            <w:tcW w:w="110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A94">
            <w:pPr>
              <w:pStyle w:val="msonormals11"/>
            </w:pPr>
            <w:r>
              <w:t>Республика Молдов</w:t>
            </w:r>
            <w:r>
              <w:t>а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A94">
            <w:pPr>
              <w:pStyle w:val="msonormals11"/>
            </w:pPr>
            <w:r>
              <w:t>Молдовастандар</w:t>
            </w:r>
            <w:r>
              <w:t>т</w:t>
            </w:r>
          </w:p>
        </w:tc>
      </w:tr>
      <w:tr w:rsidR="00000000">
        <w:tc>
          <w:tcPr>
            <w:tcW w:w="110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A94">
            <w:pPr>
              <w:pStyle w:val="msonormals11"/>
            </w:pPr>
            <w:r>
              <w:t>Российская Федераци</w:t>
            </w:r>
            <w:r>
              <w:t>я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A94">
            <w:pPr>
              <w:pStyle w:val="msonormals11"/>
            </w:pPr>
            <w:r>
              <w:t>Госстандарт Росси</w:t>
            </w:r>
            <w:r>
              <w:t>и</w:t>
            </w:r>
          </w:p>
        </w:tc>
      </w:tr>
      <w:tr w:rsidR="00000000">
        <w:tc>
          <w:tcPr>
            <w:tcW w:w="110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A94">
            <w:pPr>
              <w:pStyle w:val="msonormals11"/>
            </w:pPr>
            <w:r>
              <w:t>Республика Таджикиста</w:t>
            </w:r>
            <w:r>
              <w:t>н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A94">
            <w:pPr>
              <w:pStyle w:val="msonormals11"/>
            </w:pPr>
            <w:r>
              <w:t>Таджикстандар</w:t>
            </w:r>
            <w:r>
              <w:t>т</w:t>
            </w:r>
          </w:p>
        </w:tc>
      </w:tr>
      <w:tr w:rsidR="00000000">
        <w:tc>
          <w:tcPr>
            <w:tcW w:w="110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A94">
            <w:pPr>
              <w:pStyle w:val="msonormals11"/>
            </w:pPr>
            <w:r>
              <w:t>Туркмениста</w:t>
            </w:r>
            <w:r>
              <w:t>н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A94">
            <w:pPr>
              <w:pStyle w:val="msonormals11"/>
            </w:pPr>
            <w:r>
              <w:t>Главгосслужба «Туркменстандартлары</w:t>
            </w:r>
            <w:r>
              <w:t>»</w:t>
            </w:r>
          </w:p>
        </w:tc>
      </w:tr>
      <w:tr w:rsidR="00000000">
        <w:tc>
          <w:tcPr>
            <w:tcW w:w="110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A94">
            <w:pPr>
              <w:pStyle w:val="msonormals11"/>
            </w:pPr>
            <w:r>
              <w:t>Республика Узбекиста</w:t>
            </w:r>
            <w:r>
              <w:t>н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A94">
            <w:pPr>
              <w:pStyle w:val="msonormals11"/>
            </w:pPr>
            <w:r>
              <w:t>Узгосстандар</w:t>
            </w:r>
            <w:r>
              <w:t>т</w:t>
            </w:r>
          </w:p>
        </w:tc>
      </w:tr>
      <w:tr w:rsidR="00000000">
        <w:tc>
          <w:tcPr>
            <w:tcW w:w="110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A94">
            <w:pPr>
              <w:pStyle w:val="msonormals11"/>
            </w:pPr>
            <w:r>
              <w:t>Украин</w:t>
            </w:r>
            <w:r>
              <w:t>а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A94">
            <w:pPr>
              <w:pStyle w:val="msonormals11"/>
            </w:pPr>
            <w:r>
              <w:t>Госстандарт Украин</w:t>
            </w:r>
            <w:r>
              <w:t>ы</w:t>
            </w:r>
          </w:p>
        </w:tc>
      </w:tr>
    </w:tbl>
    <w:p w:rsidR="00000000" w:rsidRDefault="00324A94">
      <w:pPr>
        <w:ind w:firstLine="400"/>
        <w:jc w:val="both"/>
      </w:pPr>
      <w:r>
        <w:rPr>
          <w:rStyle w:val="s0"/>
        </w:rPr>
        <w:t> </w:t>
      </w:r>
    </w:p>
    <w:p w:rsidR="00000000" w:rsidRDefault="00324A94">
      <w:pPr>
        <w:ind w:firstLine="400"/>
        <w:jc w:val="both"/>
      </w:pPr>
      <w:r>
        <w:rPr>
          <w:rStyle w:val="s0"/>
          <w:b/>
          <w:bCs/>
        </w:rPr>
        <w:t>(Измененная редакция. Изм. № 1)</w:t>
      </w:r>
    </w:p>
    <w:p w:rsidR="00000000" w:rsidRDefault="00324A94">
      <w:pPr>
        <w:ind w:firstLine="400"/>
        <w:jc w:val="both"/>
      </w:pPr>
      <w:r>
        <w:rPr>
          <w:rStyle w:val="s0"/>
        </w:rPr>
        <w:t xml:space="preserve">3 </w:t>
      </w:r>
      <w:hyperlink r:id="rId7" w:anchor="sub_id=300" w:history="1">
        <w:r>
          <w:rPr>
            <w:rStyle w:val="a3"/>
          </w:rPr>
          <w:t>Раздел 3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стандарта представляет собой полный аутентичный текст ИСО 1171-81 «Твердое минеральное топливо. Определение содержания золы» и содержит дополнительные требования, отражающие потребности экономики страны</w:t>
      </w:r>
    </w:p>
    <w:p w:rsidR="00000000" w:rsidRDefault="00324A94">
      <w:pPr>
        <w:ind w:firstLine="400"/>
        <w:jc w:val="both"/>
      </w:pPr>
      <w:r>
        <w:rPr>
          <w:rStyle w:val="s0"/>
        </w:rPr>
        <w:t>4 Постановлением Комитета Российской Федер</w:t>
      </w:r>
      <w:r>
        <w:rPr>
          <w:rStyle w:val="s0"/>
        </w:rPr>
        <w:t>ации по стандартизации, метрологии и сертификации от 12.03.96 № 160 межгосударственный стандарт ГОСТ 11022-95 (ИСО 1171-81) введен в действие непосредственно в качестве государственного стандарта Российской Федерации с 1 января 1997 г.</w:t>
      </w:r>
    </w:p>
    <w:p w:rsidR="00000000" w:rsidRDefault="00324A94">
      <w:pPr>
        <w:ind w:firstLine="400"/>
        <w:jc w:val="both"/>
      </w:pPr>
      <w:r>
        <w:rPr>
          <w:rStyle w:val="s0"/>
        </w:rPr>
        <w:t>5 ВЗАМЕН ГОСТ 11022-</w:t>
      </w:r>
      <w:r>
        <w:rPr>
          <w:rStyle w:val="s0"/>
        </w:rPr>
        <w:t>90</w:t>
      </w:r>
    </w:p>
    <w:p w:rsidR="00000000" w:rsidRDefault="00324A94">
      <w:pPr>
        <w:ind w:firstLine="400"/>
        <w:jc w:val="both"/>
      </w:pPr>
      <w:r>
        <w:rPr>
          <w:rStyle w:val="s0"/>
        </w:rPr>
        <w:t> </w:t>
      </w:r>
    </w:p>
    <w:p w:rsidR="00000000" w:rsidRDefault="00324A94">
      <w:pPr>
        <w:ind w:firstLine="400"/>
        <w:jc w:val="both"/>
      </w:pPr>
      <w:r>
        <w:rPr>
          <w:rStyle w:val="s0"/>
        </w:rPr>
        <w:t>Дата введения 1997-01-01</w:t>
      </w:r>
    </w:p>
    <w:p w:rsidR="00000000" w:rsidRDefault="00324A9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324A94">
      <w:pPr>
        <w:ind w:firstLine="400"/>
        <w:jc w:val="both"/>
      </w:pPr>
      <w:r>
        <w:rPr>
          <w:rStyle w:val="s0"/>
          <w:b/>
          <w:bCs/>
        </w:rPr>
        <w:t>изменение № 1 ГОСТ 11022-95 Топливо твердое минеральное. Методы определения зольности</w:t>
      </w:r>
    </w:p>
    <w:p w:rsidR="00000000" w:rsidRDefault="00324A94">
      <w:pPr>
        <w:ind w:firstLine="400"/>
        <w:jc w:val="both"/>
      </w:pPr>
      <w:r>
        <w:rPr>
          <w:rStyle w:val="s0"/>
          <w:b/>
          <w:bCs/>
        </w:rPr>
        <w:t>Принято Межгосударственным Советом но стандартизации, метрологии и сертификации (протокол № 20 от 01.11.2001)</w:t>
      </w:r>
    </w:p>
    <w:p w:rsidR="00000000" w:rsidRDefault="00324A94">
      <w:pPr>
        <w:ind w:firstLine="400"/>
        <w:jc w:val="both"/>
      </w:pPr>
      <w:r>
        <w:rPr>
          <w:rStyle w:val="s0"/>
          <w:b/>
          <w:bCs/>
        </w:rPr>
        <w:t>Зарегистрировано Бюро по ста</w:t>
      </w:r>
      <w:r>
        <w:rPr>
          <w:rStyle w:val="s0"/>
          <w:b/>
          <w:bCs/>
        </w:rPr>
        <w:t>ндартам МГС № 3988</w:t>
      </w:r>
    </w:p>
    <w:p w:rsidR="00000000" w:rsidRDefault="00324A94">
      <w:pPr>
        <w:ind w:firstLine="400"/>
        <w:jc w:val="both"/>
      </w:pPr>
      <w:r>
        <w:rPr>
          <w:rStyle w:val="s0"/>
        </w:rPr>
        <w:t>За принятие изменения проголосовали:</w:t>
      </w:r>
    </w:p>
    <w:p w:rsidR="00000000" w:rsidRDefault="00324A94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571"/>
      </w:tblGrid>
      <w:tr w:rsidR="00000000">
        <w:tc>
          <w:tcPr>
            <w:tcW w:w="1106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A94">
            <w:pPr>
              <w:jc w:val="center"/>
            </w:pPr>
            <w:r>
              <w:t>Наименование государства</w:t>
            </w:r>
          </w:p>
        </w:tc>
      </w:tr>
    </w:tbl>
    <w:p w:rsidR="00000000" w:rsidRDefault="00324A94">
      <w:pPr>
        <w:jc w:val="center"/>
      </w:pPr>
      <w:r>
        <w:t>Наименование национального органа по стандартизаци</w:t>
      </w:r>
      <w:r>
        <w:t>и</w:t>
      </w:r>
    </w:p>
    <w:p w:rsidR="00000000" w:rsidRDefault="00324A94">
      <w:pPr>
        <w:pStyle w:val="msonormalsk"/>
      </w:pPr>
      <w:r>
        <w:t>Азербайджанская Республик</w:t>
      </w:r>
      <w:r>
        <w:t>а</w:t>
      </w:r>
    </w:p>
    <w:p w:rsidR="00000000" w:rsidRDefault="00324A94">
      <w:pPr>
        <w:pStyle w:val="msonormalsk"/>
      </w:pPr>
      <w:r>
        <w:t>Азгосстапдар</w:t>
      </w:r>
      <w:r>
        <w:t>т</w:t>
      </w:r>
    </w:p>
    <w:p w:rsidR="00000000" w:rsidRDefault="00324A94">
      <w:pPr>
        <w:pStyle w:val="msonormalsk"/>
      </w:pPr>
      <w:r>
        <w:t>Республика Армени</w:t>
      </w:r>
      <w:r>
        <w:t>я</w:t>
      </w:r>
    </w:p>
    <w:p w:rsidR="00000000" w:rsidRDefault="00324A94">
      <w:pPr>
        <w:pStyle w:val="msonormalsk"/>
      </w:pPr>
      <w:r>
        <w:t>Армгосстандар</w:t>
      </w:r>
      <w:r>
        <w:t>т</w:t>
      </w:r>
    </w:p>
    <w:p w:rsidR="00000000" w:rsidRDefault="00324A94">
      <w:pPr>
        <w:pStyle w:val="msonormalsk"/>
      </w:pPr>
      <w:r>
        <w:t>Республика Беларус</w:t>
      </w:r>
      <w:r>
        <w:t>ь</w:t>
      </w:r>
    </w:p>
    <w:p w:rsidR="00000000" w:rsidRDefault="00324A94">
      <w:pPr>
        <w:pStyle w:val="msonormalsk"/>
      </w:pPr>
      <w:r>
        <w:t>Госстандарт Республики Беларус</w:t>
      </w:r>
      <w:r>
        <w:t>ь</w:t>
      </w:r>
    </w:p>
    <w:p w:rsidR="00000000" w:rsidRDefault="00324A94">
      <w:pPr>
        <w:pStyle w:val="1"/>
        <w:spacing w:before="0" w:beforeAutospacing="0" w:after="0" w:afterAutospacing="0"/>
        <w:rPr>
          <w:rFonts w:eastAsia="Times New Roman"/>
        </w:rPr>
      </w:pPr>
      <w:r>
        <w:rPr>
          <w:rFonts w:eastAsia="Times New Roman"/>
          <w:sz w:val="24"/>
          <w:szCs w:val="24"/>
        </w:rPr>
        <w:t>Республика Казахста</w:t>
      </w:r>
      <w:r>
        <w:rPr>
          <w:rFonts w:eastAsia="Times New Roman"/>
          <w:sz w:val="24"/>
          <w:szCs w:val="24"/>
        </w:rPr>
        <w:t>н</w:t>
      </w:r>
    </w:p>
    <w:p w:rsidR="00000000" w:rsidRDefault="00324A94">
      <w:pPr>
        <w:pStyle w:val="msonormalsk"/>
      </w:pPr>
      <w:r>
        <w:t>Госстандарт Республики Казахста</w:t>
      </w:r>
      <w:r>
        <w:t>н</w:t>
      </w:r>
    </w:p>
    <w:p w:rsidR="00000000" w:rsidRDefault="00324A94">
      <w:pPr>
        <w:pStyle w:val="msonormalsk"/>
      </w:pPr>
      <w:r>
        <w:t>Кыргызская Республик</w:t>
      </w:r>
      <w:r>
        <w:t>а</w:t>
      </w:r>
    </w:p>
    <w:p w:rsidR="00000000" w:rsidRDefault="00324A94">
      <w:pPr>
        <w:pStyle w:val="msonormalsk"/>
      </w:pPr>
      <w:r>
        <w:t>Кыргызстандар</w:t>
      </w:r>
      <w:r>
        <w:t>т</w:t>
      </w:r>
    </w:p>
    <w:p w:rsidR="00000000" w:rsidRDefault="00324A94">
      <w:pPr>
        <w:pStyle w:val="msonormalsk"/>
      </w:pPr>
      <w:r>
        <w:t>Республика Молдов</w:t>
      </w:r>
      <w:r>
        <w:t>а</w:t>
      </w:r>
    </w:p>
    <w:p w:rsidR="00000000" w:rsidRDefault="00324A94">
      <w:pPr>
        <w:pStyle w:val="msonormalsk"/>
      </w:pPr>
      <w:r>
        <w:t>Молдовастандар</w:t>
      </w:r>
      <w:r>
        <w:t>т</w:t>
      </w:r>
    </w:p>
    <w:p w:rsidR="00000000" w:rsidRDefault="00324A94">
      <w:pPr>
        <w:pStyle w:val="msonormalsk"/>
      </w:pPr>
      <w:r>
        <w:t>Российская Федераци</w:t>
      </w:r>
      <w:r>
        <w:t>я</w:t>
      </w:r>
    </w:p>
    <w:p w:rsidR="00000000" w:rsidRDefault="00324A94">
      <w:pPr>
        <w:pStyle w:val="msonormalsk"/>
      </w:pPr>
      <w:r>
        <w:t>Госстандарт Росси</w:t>
      </w:r>
      <w:r>
        <w:t>и</w:t>
      </w:r>
    </w:p>
    <w:p w:rsidR="00000000" w:rsidRDefault="00324A94">
      <w:pPr>
        <w:pStyle w:val="msonormalsk"/>
      </w:pPr>
      <w:r>
        <w:t>Республика Таджикиста</w:t>
      </w:r>
      <w:r>
        <w:t>н</w:t>
      </w:r>
    </w:p>
    <w:p w:rsidR="00000000" w:rsidRDefault="00324A94">
      <w:pPr>
        <w:pStyle w:val="msonormalsk"/>
      </w:pPr>
      <w:r>
        <w:t>Таджикстандар</w:t>
      </w:r>
      <w:r>
        <w:t>т</w:t>
      </w:r>
    </w:p>
    <w:p w:rsidR="00000000" w:rsidRDefault="00324A94">
      <w:pPr>
        <w:pStyle w:val="msonormalsk"/>
      </w:pPr>
      <w:r>
        <w:t>Туркмениста</w:t>
      </w:r>
      <w:r>
        <w:t>н</w:t>
      </w:r>
    </w:p>
    <w:p w:rsidR="00000000" w:rsidRDefault="00324A94">
      <w:pPr>
        <w:pStyle w:val="msonormalsk"/>
      </w:pPr>
      <w:r>
        <w:t>Главгос</w:t>
      </w:r>
      <w:r>
        <w:t>служба «Туркменстандартлары</w:t>
      </w:r>
      <w:r>
        <w:t>»</w:t>
      </w:r>
    </w:p>
    <w:p w:rsidR="00000000" w:rsidRDefault="00324A94">
      <w:pPr>
        <w:pStyle w:val="msonormalsk"/>
      </w:pPr>
      <w:r>
        <w:t>Республика Узбекиста</w:t>
      </w:r>
      <w:r>
        <w:t>н</w:t>
      </w:r>
    </w:p>
    <w:p w:rsidR="00000000" w:rsidRDefault="00324A94">
      <w:pPr>
        <w:pStyle w:val="msonormalsk"/>
      </w:pPr>
      <w:r>
        <w:t>Узгосстандар</w:t>
      </w:r>
      <w:r>
        <w:t>т</w:t>
      </w:r>
    </w:p>
    <w:p w:rsidR="00000000" w:rsidRDefault="00324A94">
      <w:pPr>
        <w:pStyle w:val="msonormalsk"/>
      </w:pPr>
      <w:r>
        <w:t>Украин</w:t>
      </w:r>
      <w:r>
        <w:t>а</w:t>
      </w:r>
    </w:p>
    <w:p w:rsidR="00000000" w:rsidRDefault="00324A94">
      <w:pPr>
        <w:pStyle w:val="msonormalsk"/>
      </w:pPr>
      <w:r>
        <w:t>Госстандарт Украин</w:t>
      </w:r>
      <w:r>
        <w:t>ы</w:t>
      </w:r>
    </w:p>
    <w:p w:rsidR="00000000" w:rsidRDefault="00324A94">
      <w:pPr>
        <w:ind w:firstLine="400"/>
        <w:jc w:val="both"/>
      </w:pPr>
      <w:r>
        <w:rPr>
          <w:rStyle w:val="s0"/>
        </w:rPr>
        <w:t> </w:t>
      </w:r>
    </w:p>
    <w:p w:rsidR="00000000" w:rsidRDefault="00324A94">
      <w:pPr>
        <w:ind w:firstLine="400"/>
        <w:jc w:val="both"/>
      </w:pPr>
      <w:r>
        <w:rPr>
          <w:rStyle w:val="s0"/>
        </w:rPr>
        <w:t>На обложке и первой странице под обозначением стандарта заменить обозначение: (ИСО 1171-81) на (ИСО 1171-97).</w:t>
      </w:r>
    </w:p>
    <w:p w:rsidR="00000000" w:rsidRDefault="00324A94">
      <w:pPr>
        <w:ind w:firstLine="400"/>
        <w:jc w:val="both"/>
      </w:pPr>
      <w:r>
        <w:rPr>
          <w:rStyle w:val="s0"/>
        </w:rPr>
        <w:t>Раздел 2. Заменить ссылку: ГОСТ 3044-84 на ГОСТ 3044-84*;</w:t>
      </w:r>
    </w:p>
    <w:p w:rsidR="00000000" w:rsidRDefault="00324A94">
      <w:pPr>
        <w:ind w:firstLine="400"/>
        <w:jc w:val="both"/>
      </w:pPr>
      <w:r>
        <w:rPr>
          <w:rStyle w:val="s0"/>
        </w:rPr>
        <w:t>дополнить сноской:</w:t>
      </w:r>
    </w:p>
    <w:p w:rsidR="00000000" w:rsidRDefault="00324A94">
      <w:pPr>
        <w:ind w:firstLine="400"/>
        <w:jc w:val="both"/>
      </w:pPr>
      <w:r>
        <w:rPr>
          <w:rStyle w:val="s0"/>
        </w:rPr>
        <w:t>«* На территории Российской Федерации действует ГОСТ Р 8.585-2001 ГСИ. Термопары. Номинальные статические характеристики преобразования»;</w:t>
      </w:r>
    </w:p>
    <w:p w:rsidR="00000000" w:rsidRDefault="00324A94">
      <w:pPr>
        <w:ind w:firstLine="400"/>
        <w:jc w:val="both"/>
      </w:pPr>
      <w:r>
        <w:rPr>
          <w:rStyle w:val="s0"/>
        </w:rPr>
        <w:t>ссылки на ГОСТ 19908-90 и ГОСТ 27313-95 и</w:t>
      </w:r>
      <w:r>
        <w:rPr>
          <w:rStyle w:val="s0"/>
        </w:rPr>
        <w:t>зложить в новой редакции:</w:t>
      </w:r>
    </w:p>
    <w:p w:rsidR="00000000" w:rsidRDefault="00324A94">
      <w:pPr>
        <w:ind w:firstLine="400"/>
        <w:jc w:val="both"/>
      </w:pPr>
      <w:r>
        <w:rPr>
          <w:rStyle w:val="s0"/>
        </w:rPr>
        <w:t>«ГОСТ 19908-90 Тигли, чаши, стаканы, колбы, воронки, пробирки и наконечники из прозрачного кварцевого стекла. Общие технические условия</w:t>
      </w:r>
    </w:p>
    <w:p w:rsidR="00000000" w:rsidRDefault="00324A94">
      <w:pPr>
        <w:ind w:firstLine="400"/>
        <w:jc w:val="both"/>
      </w:pPr>
      <w:r>
        <w:rPr>
          <w:rStyle w:val="s0"/>
        </w:rPr>
        <w:t>ГОСТ 27313-95 (ИСО 1170-77) Топливо твердое минеральное. Обозначение показателей качества и фо</w:t>
      </w:r>
      <w:r>
        <w:rPr>
          <w:rStyle w:val="s0"/>
        </w:rPr>
        <w:t>рмулы пересчета результатов анализа для различных состояний топлива».</w:t>
      </w:r>
    </w:p>
    <w:p w:rsidR="00000000" w:rsidRDefault="00324A94">
      <w:pPr>
        <w:ind w:firstLine="400"/>
        <w:jc w:val="both"/>
      </w:pPr>
      <w:r>
        <w:rPr>
          <w:rStyle w:val="s0"/>
        </w:rPr>
        <w:t>Пункт 3.1. Первый абзац. Заменить значение: (815 ± 15) °С на (815 ± 10) °С.</w:t>
      </w:r>
    </w:p>
    <w:p w:rsidR="00000000" w:rsidRDefault="00324A94">
      <w:pPr>
        <w:ind w:firstLine="400"/>
        <w:jc w:val="both"/>
      </w:pPr>
      <w:r>
        <w:rPr>
          <w:rStyle w:val="s0"/>
        </w:rPr>
        <w:t>Пункт 3.2.2 дополнить абзацем:</w:t>
      </w:r>
    </w:p>
    <w:p w:rsidR="00000000" w:rsidRDefault="00324A94">
      <w:pPr>
        <w:ind w:firstLine="400"/>
        <w:jc w:val="both"/>
      </w:pPr>
      <w:r>
        <w:rPr>
          <w:rStyle w:val="s0"/>
        </w:rPr>
        <w:t>«Альтернативно используют две муфельные печи любого типа. Одна должна обеспечит</w:t>
      </w:r>
      <w:r>
        <w:rPr>
          <w:rStyle w:val="s0"/>
        </w:rPr>
        <w:t>ь постоянную температуру и скорость нагрева до 500 °С, вторая - постоянную температуру (815 ± 10) °С».</w:t>
      </w:r>
    </w:p>
    <w:p w:rsidR="00000000" w:rsidRDefault="00324A94">
      <w:pPr>
        <w:ind w:firstLine="400"/>
        <w:jc w:val="both"/>
      </w:pPr>
      <w:r>
        <w:rPr>
          <w:rStyle w:val="s0"/>
        </w:rPr>
        <w:t>Пункт 3.2.3. Первый абзац изложить в новой редакции:</w:t>
      </w:r>
    </w:p>
    <w:p w:rsidR="00000000" w:rsidRDefault="00324A94">
      <w:pPr>
        <w:ind w:firstLine="400"/>
        <w:jc w:val="both"/>
      </w:pPr>
      <w:r>
        <w:rPr>
          <w:rStyle w:val="s0"/>
        </w:rPr>
        <w:t>« Тигли, лодочки для сжигания из кварца, фарфора или платины, глубиной от 8 до 15 мм № 1, 2, 3 по ГО</w:t>
      </w:r>
      <w:r>
        <w:rPr>
          <w:rStyle w:val="s0"/>
        </w:rPr>
        <w:t>СТ 9147 и ГОСТ 19908»;</w:t>
      </w:r>
    </w:p>
    <w:p w:rsidR="00000000" w:rsidRDefault="00324A94">
      <w:pPr>
        <w:ind w:firstLine="400"/>
        <w:jc w:val="both"/>
      </w:pPr>
      <w:r>
        <w:rPr>
          <w:rStyle w:val="s0"/>
        </w:rPr>
        <w:t>третий абзац исключить.</w:t>
      </w:r>
    </w:p>
    <w:p w:rsidR="00000000" w:rsidRDefault="00324A94">
      <w:pPr>
        <w:ind w:firstLine="400"/>
        <w:jc w:val="both"/>
      </w:pPr>
      <w:r>
        <w:rPr>
          <w:rStyle w:val="s0"/>
        </w:rPr>
        <w:t>Пункт 3.4 изложить в новой редакции:</w:t>
      </w:r>
    </w:p>
    <w:p w:rsidR="00000000" w:rsidRDefault="00324A94">
      <w:pPr>
        <w:ind w:firstLine="400"/>
        <w:jc w:val="both"/>
      </w:pPr>
      <w:r>
        <w:rPr>
          <w:rStyle w:val="s0"/>
        </w:rPr>
        <w:t>«3.4 Проведение испытания</w:t>
      </w:r>
    </w:p>
    <w:p w:rsidR="00000000" w:rsidRDefault="00324A94">
      <w:pPr>
        <w:ind w:firstLine="400"/>
        <w:jc w:val="both"/>
      </w:pPr>
      <w:r>
        <w:rPr>
          <w:rStyle w:val="s0"/>
        </w:rPr>
        <w:t>Тигель или лодочку взвешивают (3.2.1), равномерно распределяют 1-2 г пробы (3.3) и снова взвешивают.</w:t>
      </w:r>
    </w:p>
    <w:p w:rsidR="00000000" w:rsidRDefault="00324A94">
      <w:pPr>
        <w:ind w:firstLine="400"/>
        <w:jc w:val="both"/>
      </w:pPr>
      <w:r>
        <w:rPr>
          <w:rStyle w:val="s0"/>
        </w:rPr>
        <w:t>Примечание - Кварцевые или фарфоровые тигли и</w:t>
      </w:r>
      <w:r>
        <w:rPr>
          <w:rStyle w:val="s0"/>
        </w:rPr>
        <w:t xml:space="preserve"> лодочки перед первым взвешиванием нагревают до (815±10) °С, выдерживают при этой температуре в течение 15 мин и охлаждают так же, как при проведении испытания.</w:t>
      </w:r>
    </w:p>
    <w:p w:rsidR="00000000" w:rsidRDefault="00324A94">
      <w:pPr>
        <w:ind w:firstLine="400"/>
        <w:jc w:val="both"/>
      </w:pPr>
      <w:r>
        <w:rPr>
          <w:rStyle w:val="s0"/>
        </w:rPr>
        <w:t>Для бурых углей лигнитов, и горючих сланцев</w:t>
      </w:r>
    </w:p>
    <w:p w:rsidR="00000000" w:rsidRDefault="00324A94">
      <w:pPr>
        <w:ind w:firstLine="400"/>
        <w:jc w:val="both"/>
      </w:pPr>
      <w:r>
        <w:rPr>
          <w:rStyle w:val="s0"/>
        </w:rPr>
        <w:t xml:space="preserve">Тигель или лодочку с навеской помещают в муфельную </w:t>
      </w:r>
      <w:r>
        <w:rPr>
          <w:rStyle w:val="s0"/>
        </w:rPr>
        <w:t xml:space="preserve">печь (3.2.2) при комнатной температуре. В печение 60 мин повышают температуру печи до 500 °С и поддерживают эту температуру в течение 60 мин. Продолжают нагрев до (815 ± 10) °С в той же печи либо, при использовании двух печей, переносят тигель или лодочку </w:t>
      </w:r>
      <w:r>
        <w:rPr>
          <w:rStyle w:val="s0"/>
        </w:rPr>
        <w:t>во вторую печь, предварительно нагретую до (815 ± 10) °С (см. примечание 2 к 3.2.2), и выдерживают при этой температуре не менее 60 мин.</w:t>
      </w:r>
    </w:p>
    <w:p w:rsidR="00000000" w:rsidRDefault="00324A94">
      <w:pPr>
        <w:ind w:firstLine="400"/>
        <w:jc w:val="both"/>
      </w:pPr>
      <w:r>
        <w:rPr>
          <w:rStyle w:val="s0"/>
        </w:rPr>
        <w:t>Для каменных углей и антрацитов</w:t>
      </w:r>
    </w:p>
    <w:p w:rsidR="00000000" w:rsidRDefault="00324A94">
      <w:pPr>
        <w:ind w:firstLine="400"/>
        <w:jc w:val="both"/>
      </w:pPr>
      <w:r>
        <w:rPr>
          <w:rStyle w:val="s0"/>
        </w:rPr>
        <w:t>Тигель пли лодочку с навеской помещают в муфельную печь при комнатной температуре. В те</w:t>
      </w:r>
      <w:r>
        <w:rPr>
          <w:rStyle w:val="s0"/>
        </w:rPr>
        <w:t xml:space="preserve">чение 60 мин повышают температуру печи до 500 °С и поддерживают эту температуру в течение 30 мин. Далее продолжают нагрев до (815±10) °С в той же печи либо, при использовании двух печей, переносят тигель или лодочку во вторую печь, предварительно нагретую </w:t>
      </w:r>
      <w:r>
        <w:rPr>
          <w:rStyle w:val="s0"/>
        </w:rPr>
        <w:t>до (815 ± 10) °С, и выдерживают при этой температуре не менее 60 мин.</w:t>
      </w:r>
    </w:p>
    <w:p w:rsidR="00000000" w:rsidRDefault="00324A94">
      <w:pPr>
        <w:ind w:firstLine="400"/>
        <w:jc w:val="both"/>
      </w:pPr>
      <w:r>
        <w:rPr>
          <w:rStyle w:val="s0"/>
        </w:rPr>
        <w:t>Для кокса и термоантрацита</w:t>
      </w:r>
    </w:p>
    <w:p w:rsidR="00000000" w:rsidRDefault="00324A94">
      <w:pPr>
        <w:ind w:firstLine="400"/>
        <w:jc w:val="both"/>
      </w:pPr>
      <w:r>
        <w:rPr>
          <w:rStyle w:val="s0"/>
        </w:rPr>
        <w:t>Тигель пли лодочку с навеской помещают на пластину (3.2.4), которую сразу помешают в печь, нагретую до (815±10) °С. Выдерживают при этой температуре не менее 6</w:t>
      </w:r>
      <w:r>
        <w:rPr>
          <w:rStyle w:val="s0"/>
        </w:rPr>
        <w:t>0 мин.</w:t>
      </w:r>
    </w:p>
    <w:p w:rsidR="00000000" w:rsidRDefault="00324A94">
      <w:pPr>
        <w:ind w:firstLine="400"/>
        <w:jc w:val="both"/>
      </w:pPr>
      <w:r>
        <w:rPr>
          <w:rStyle w:val="s0"/>
        </w:rPr>
        <w:t>После прокаливания тигель или лодочку вынимают из печи и охлаждают на толстой металлической плите в течение 10 мин, а затем помешают в эксикатор без осушителя.</w:t>
      </w:r>
    </w:p>
    <w:p w:rsidR="00000000" w:rsidRDefault="00324A94">
      <w:pPr>
        <w:ind w:firstLine="400"/>
        <w:jc w:val="both"/>
      </w:pPr>
      <w:r>
        <w:rPr>
          <w:rStyle w:val="s0"/>
        </w:rPr>
        <w:t>Примечание - Сосуд, в котором происходит охлаждение, можно заполнить сухим газом, чтобы у</w:t>
      </w:r>
      <w:r>
        <w:rPr>
          <w:rStyle w:val="s0"/>
        </w:rPr>
        <w:t>меньшить возможность поглощения влаги золой во время охлаждения. В этом случае лодочку или тигель накрывают крышкой.</w:t>
      </w:r>
    </w:p>
    <w:p w:rsidR="00000000" w:rsidRDefault="00324A94">
      <w:pPr>
        <w:ind w:firstLine="400"/>
        <w:jc w:val="both"/>
      </w:pPr>
      <w:r>
        <w:rPr>
          <w:rStyle w:val="s0"/>
        </w:rPr>
        <w:t>После охлаждения тигель или лодочку с зольным остатком взвешивают. Проводят контрольные прокаливания при (815±10) °С в течение нескольких 15-минутных периодов до тех пор, пока последующее изменение массы станет не более 1 мг.</w:t>
      </w:r>
    </w:p>
    <w:p w:rsidR="00000000" w:rsidRDefault="00324A94">
      <w:pPr>
        <w:ind w:firstLine="400"/>
        <w:jc w:val="both"/>
      </w:pPr>
      <w:r>
        <w:rPr>
          <w:rStyle w:val="s0"/>
        </w:rPr>
        <w:t>Примечание - Если результаты и</w:t>
      </w:r>
      <w:r>
        <w:rPr>
          <w:rStyle w:val="s0"/>
        </w:rPr>
        <w:t>спытания необходимо пересчитать на другие состояния топлива, отличные от воздушно-сухого, определяют массовую долю влаги в пробе».</w:t>
      </w:r>
    </w:p>
    <w:p w:rsidR="00000000" w:rsidRDefault="00324A94">
      <w:pPr>
        <w:ind w:firstLine="400"/>
        <w:jc w:val="both"/>
      </w:pPr>
      <w:r>
        <w:rPr>
          <w:rStyle w:val="s0"/>
        </w:rPr>
        <w:t>Пункт 3.5. Примечание исключить.</w:t>
      </w:r>
    </w:p>
    <w:p w:rsidR="00000000" w:rsidRDefault="00324A94">
      <w:pPr>
        <w:ind w:firstLine="400"/>
        <w:jc w:val="both"/>
      </w:pPr>
      <w:r>
        <w:rPr>
          <w:rStyle w:val="s0"/>
        </w:rPr>
        <w:t>Пункт 3.6.1. Таблицу изложить в новой редакции:</w:t>
      </w:r>
    </w:p>
    <w:p w:rsidR="00000000" w:rsidRDefault="00324A94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15"/>
        <w:gridCol w:w="3289"/>
        <w:gridCol w:w="3867"/>
      </w:tblGrid>
      <w:tr w:rsidR="00000000">
        <w:tc>
          <w:tcPr>
            <w:tcW w:w="576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A94">
            <w:pPr>
              <w:jc w:val="center"/>
            </w:pPr>
            <w:r>
              <w:t>Зольност</w:t>
            </w:r>
            <w:r>
              <w:t>ь</w:t>
            </w:r>
          </w:p>
        </w:tc>
        <w:tc>
          <w:tcPr>
            <w:tcW w:w="1706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A94">
            <w:pPr>
              <w:jc w:val="center"/>
            </w:pPr>
            <w:r>
              <w:t>Максимально допустимые расхождения между результатами (рассчитаны на одинаковую массовую долю влаг</w:t>
            </w:r>
            <w:r>
              <w:t>и</w:t>
            </w:r>
            <w:r>
              <w:t xml:space="preserve"> топлива</w:t>
            </w:r>
            <w:r>
              <w:t>)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24A94"/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A94">
            <w:pPr>
              <w:jc w:val="center"/>
            </w:pPr>
            <w:r>
              <w:t>Сходимост</w:t>
            </w:r>
            <w:r>
              <w:t>ь</w:t>
            </w:r>
          </w:p>
        </w:tc>
        <w:tc>
          <w:tcPr>
            <w:tcW w:w="9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A94">
            <w:pPr>
              <w:jc w:val="center"/>
            </w:pPr>
            <w:r>
              <w:t>Воспроизводимост</w:t>
            </w:r>
            <w:r>
              <w:t>ь</w:t>
            </w:r>
          </w:p>
        </w:tc>
      </w:tr>
      <w:tr w:rsidR="00000000">
        <w:tc>
          <w:tcPr>
            <w:tcW w:w="57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A94">
            <w:pPr>
              <w:pStyle w:val="msonormalsp1"/>
            </w:pPr>
            <w:r>
              <w:t xml:space="preserve">До 10 </w:t>
            </w:r>
            <w:r>
              <w:t>%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A94">
            <w:pPr>
              <w:jc w:val="center"/>
            </w:pPr>
            <w:r>
              <w:t>0,2 % абс</w:t>
            </w:r>
            <w:r>
              <w:t>.</w:t>
            </w:r>
          </w:p>
        </w:tc>
        <w:tc>
          <w:tcPr>
            <w:tcW w:w="9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A94">
            <w:pPr>
              <w:jc w:val="center"/>
            </w:pPr>
            <w:r>
              <w:t>0,3 % абс</w:t>
            </w:r>
            <w:r>
              <w:t>.</w:t>
            </w:r>
          </w:p>
        </w:tc>
      </w:tr>
      <w:tr w:rsidR="00000000">
        <w:tc>
          <w:tcPr>
            <w:tcW w:w="57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A94">
            <w:pPr>
              <w:pStyle w:val="msonormalsp1"/>
            </w:pPr>
            <w:r>
              <w:t>10</w:t>
            </w:r>
            <w:r>
              <w:t xml:space="preserve"> </w:t>
            </w:r>
            <w:r>
              <w:t>% и боле</w:t>
            </w:r>
            <w:r>
              <w:t>е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A94">
            <w:pPr>
              <w:jc w:val="center"/>
            </w:pPr>
            <w:r>
              <w:t>2,0 % среднего резуль</w:t>
            </w:r>
            <w:r>
              <w:t>т</w:t>
            </w:r>
            <w:r>
              <w:t>ат</w:t>
            </w:r>
            <w:r>
              <w:t>а</w:t>
            </w:r>
          </w:p>
        </w:tc>
        <w:tc>
          <w:tcPr>
            <w:tcW w:w="9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A94">
            <w:pPr>
              <w:ind w:firstLine="400"/>
              <w:jc w:val="both"/>
            </w:pPr>
            <w:r>
              <w:t>3,0 % среднего результат</w:t>
            </w:r>
            <w:r>
              <w:t>а</w:t>
            </w:r>
            <w:r>
              <w:rPr>
                <w:rStyle w:val="s0"/>
              </w:rPr>
              <w:t> </w:t>
            </w:r>
          </w:p>
          <w:p w:rsidR="00000000" w:rsidRDefault="00324A94">
            <w:pPr>
              <w:ind w:firstLine="400"/>
              <w:jc w:val="both"/>
            </w:pPr>
            <w:r>
              <w:rPr>
                <w:rStyle w:val="s0"/>
              </w:rPr>
              <w:t>Пункт 3.7 дополнить абзацем: « - дату испытания».</w:t>
            </w:r>
          </w:p>
          <w:p w:rsidR="00000000" w:rsidRDefault="00324A94">
            <w:pPr>
              <w:ind w:firstLine="400"/>
              <w:jc w:val="both"/>
            </w:pPr>
            <w:r>
              <w:rPr>
                <w:rStyle w:val="s0"/>
              </w:rPr>
              <w:t>Пункт 4.2.3, 4.3.3. Заменить значения: (815±15) па (815±10), (865±15) па (865±10).</w:t>
            </w:r>
          </w:p>
          <w:p w:rsidR="00000000" w:rsidRDefault="00324A94">
            <w:pPr>
              <w:jc w:val="center"/>
            </w:pPr>
            <w:r>
              <w:rPr>
                <w:rStyle w:val="s0"/>
              </w:rPr>
              <w:t>(ИУС № 5 2002 г.)</w:t>
            </w:r>
          </w:p>
          <w:p w:rsidR="00000000" w:rsidRDefault="00324A94"/>
        </w:tc>
      </w:tr>
    </w:tbl>
    <w:p w:rsidR="00000000" w:rsidRDefault="00324A94">
      <w:pPr>
        <w:rPr>
          <w:rFonts w:eastAsia="Times New Roman"/>
          <w:color w:val="auto"/>
        </w:rPr>
      </w:pP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24A94" w:rsidRDefault="00324A94" w:rsidP="00324A94">
      <w:r>
        <w:separator/>
      </w:r>
    </w:p>
  </w:endnote>
  <w:endnote w:type="continuationSeparator" w:id="0">
    <w:p w:rsidR="00324A94" w:rsidRDefault="00324A94" w:rsidP="00324A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4A94" w:rsidRDefault="00324A94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4A94" w:rsidRDefault="00324A94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4A94" w:rsidRDefault="00324A94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24A94" w:rsidRDefault="00324A94" w:rsidP="00324A94">
      <w:r>
        <w:separator/>
      </w:r>
    </w:p>
  </w:footnote>
  <w:footnote w:type="continuationSeparator" w:id="0">
    <w:p w:rsidR="00324A94" w:rsidRDefault="00324A94" w:rsidP="00324A9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4A94" w:rsidRDefault="00324A94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4A94" w:rsidRDefault="00324A94" w:rsidP="00324A94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24A94" w:rsidRPr="00324A94" w:rsidRDefault="00324A94" w:rsidP="00324A94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ГОСТ 11022-95 (ИСО 1171-97) «ТОПЛИВО ТВЕРДОЕ МИНЕРАЛЬНОЕ. М...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4A94" w:rsidRDefault="00324A94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24A94"/>
    <w:rsid w:val="00324A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auto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link w:val="30"/>
    <w:uiPriority w:val="9"/>
    <w:qFormat/>
    <w:pPr>
      <w:spacing w:before="100" w:beforeAutospacing="1" w:after="100" w:afterAutospacing="1"/>
      <w:outlineLvl w:val="2"/>
    </w:pPr>
    <w:rPr>
      <w:b/>
      <w:bCs/>
      <w:color w:val="auto"/>
      <w:sz w:val="27"/>
      <w:szCs w:val="27"/>
    </w:rPr>
  </w:style>
  <w:style w:type="paragraph" w:styleId="5">
    <w:name w:val="heading 5"/>
    <w:basedOn w:val="a"/>
    <w:link w:val="50"/>
    <w:uiPriority w:val="9"/>
    <w:qFormat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a5">
    <w:name w:val="Body Text Indent"/>
    <w:basedOn w:val="a"/>
    <w:link w:val="a6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character" w:customStyle="1" w:styleId="a6">
    <w:name w:val="Основной текст с отступом Знак"/>
    <w:basedOn w:val="a0"/>
    <w:link w:val="a5"/>
    <w:uiPriority w:val="99"/>
    <w:semiHidden/>
    <w:rPr>
      <w:rFonts w:eastAsiaTheme="minorEastAsia"/>
      <w:color w:val="000000"/>
      <w:sz w:val="24"/>
      <w:szCs w:val="24"/>
    </w:rPr>
  </w:style>
  <w:style w:type="paragraph" w:styleId="21">
    <w:name w:val="Body Text Indent 2"/>
    <w:basedOn w:val="a"/>
    <w:link w:val="22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character" w:customStyle="1" w:styleId="22">
    <w:name w:val="Основной текст с отступом 2 Знак"/>
    <w:basedOn w:val="a0"/>
    <w:link w:val="21"/>
    <w:uiPriority w:val="99"/>
    <w:semiHidden/>
    <w:rPr>
      <w:rFonts w:eastAsiaTheme="minorEastAsia"/>
      <w:color w:val="000000"/>
      <w:sz w:val="24"/>
      <w:szCs w:val="24"/>
    </w:rPr>
  </w:style>
  <w:style w:type="paragraph" w:styleId="31">
    <w:name w:val="Body Text Indent 3"/>
    <w:basedOn w:val="a"/>
    <w:link w:val="32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character" w:customStyle="1" w:styleId="32">
    <w:name w:val="Основной текст с отступом 3 Знак"/>
    <w:basedOn w:val="a0"/>
    <w:link w:val="31"/>
    <w:uiPriority w:val="99"/>
    <w:semiHidden/>
    <w:rPr>
      <w:rFonts w:eastAsiaTheme="minorEastAsia"/>
      <w:color w:val="000000"/>
      <w:sz w:val="16"/>
      <w:szCs w:val="16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msonormals11">
    <w:name w:val="msonormals11"/>
    <w:basedOn w:val="a"/>
    <w:pPr>
      <w:spacing w:before="100" w:beforeAutospacing="1" w:after="100" w:afterAutospacing="1"/>
    </w:pPr>
    <w:rPr>
      <w:color w:val="auto"/>
    </w:rPr>
  </w:style>
  <w:style w:type="paragraph" w:customStyle="1" w:styleId="msonormalsk">
    <w:name w:val="msonormalsk"/>
    <w:basedOn w:val="a"/>
    <w:pPr>
      <w:spacing w:before="100" w:beforeAutospacing="1" w:after="100" w:afterAutospacing="1"/>
    </w:pPr>
    <w:rPr>
      <w:color w:val="auto"/>
    </w:rPr>
  </w:style>
  <w:style w:type="paragraph" w:customStyle="1" w:styleId="msonormalsp1">
    <w:name w:val="msonormalsp1"/>
    <w:basedOn w:val="a"/>
    <w:pPr>
      <w:spacing w:before="100" w:beforeAutospacing="1" w:after="100" w:afterAutospacing="1"/>
    </w:pPr>
    <w:rPr>
      <w:color w:val="auto"/>
    </w:rPr>
  </w:style>
  <w:style w:type="paragraph" w:styleId="a7">
    <w:name w:val="header"/>
    <w:basedOn w:val="a"/>
    <w:link w:val="a8"/>
    <w:uiPriority w:val="99"/>
    <w:unhideWhenUsed/>
    <w:rsid w:val="00324A94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324A94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324A94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324A9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auto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link w:val="30"/>
    <w:uiPriority w:val="9"/>
    <w:qFormat/>
    <w:pPr>
      <w:spacing w:before="100" w:beforeAutospacing="1" w:after="100" w:afterAutospacing="1"/>
      <w:outlineLvl w:val="2"/>
    </w:pPr>
    <w:rPr>
      <w:b/>
      <w:bCs/>
      <w:color w:val="auto"/>
      <w:sz w:val="27"/>
      <w:szCs w:val="27"/>
    </w:rPr>
  </w:style>
  <w:style w:type="paragraph" w:styleId="5">
    <w:name w:val="heading 5"/>
    <w:basedOn w:val="a"/>
    <w:link w:val="50"/>
    <w:uiPriority w:val="9"/>
    <w:qFormat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a5">
    <w:name w:val="Body Text Indent"/>
    <w:basedOn w:val="a"/>
    <w:link w:val="a6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character" w:customStyle="1" w:styleId="a6">
    <w:name w:val="Основной текст с отступом Знак"/>
    <w:basedOn w:val="a0"/>
    <w:link w:val="a5"/>
    <w:uiPriority w:val="99"/>
    <w:semiHidden/>
    <w:rPr>
      <w:rFonts w:eastAsiaTheme="minorEastAsia"/>
      <w:color w:val="000000"/>
      <w:sz w:val="24"/>
      <w:szCs w:val="24"/>
    </w:rPr>
  </w:style>
  <w:style w:type="paragraph" w:styleId="21">
    <w:name w:val="Body Text Indent 2"/>
    <w:basedOn w:val="a"/>
    <w:link w:val="22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character" w:customStyle="1" w:styleId="22">
    <w:name w:val="Основной текст с отступом 2 Знак"/>
    <w:basedOn w:val="a0"/>
    <w:link w:val="21"/>
    <w:uiPriority w:val="99"/>
    <w:semiHidden/>
    <w:rPr>
      <w:rFonts w:eastAsiaTheme="minorEastAsia"/>
      <w:color w:val="000000"/>
      <w:sz w:val="24"/>
      <w:szCs w:val="24"/>
    </w:rPr>
  </w:style>
  <w:style w:type="paragraph" w:styleId="31">
    <w:name w:val="Body Text Indent 3"/>
    <w:basedOn w:val="a"/>
    <w:link w:val="32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character" w:customStyle="1" w:styleId="32">
    <w:name w:val="Основной текст с отступом 3 Знак"/>
    <w:basedOn w:val="a0"/>
    <w:link w:val="31"/>
    <w:uiPriority w:val="99"/>
    <w:semiHidden/>
    <w:rPr>
      <w:rFonts w:eastAsiaTheme="minorEastAsia"/>
      <w:color w:val="000000"/>
      <w:sz w:val="16"/>
      <w:szCs w:val="16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msonormals11">
    <w:name w:val="msonormals11"/>
    <w:basedOn w:val="a"/>
    <w:pPr>
      <w:spacing w:before="100" w:beforeAutospacing="1" w:after="100" w:afterAutospacing="1"/>
    </w:pPr>
    <w:rPr>
      <w:color w:val="auto"/>
    </w:rPr>
  </w:style>
  <w:style w:type="paragraph" w:customStyle="1" w:styleId="msonormalsk">
    <w:name w:val="msonormalsk"/>
    <w:basedOn w:val="a"/>
    <w:pPr>
      <w:spacing w:before="100" w:beforeAutospacing="1" w:after="100" w:afterAutospacing="1"/>
    </w:pPr>
    <w:rPr>
      <w:color w:val="auto"/>
    </w:rPr>
  </w:style>
  <w:style w:type="paragraph" w:customStyle="1" w:styleId="msonormalsp1">
    <w:name w:val="msonormalsp1"/>
    <w:basedOn w:val="a"/>
    <w:pPr>
      <w:spacing w:before="100" w:beforeAutospacing="1" w:after="100" w:afterAutospacing="1"/>
    </w:pPr>
    <w:rPr>
      <w:color w:val="auto"/>
    </w:rPr>
  </w:style>
  <w:style w:type="paragraph" w:styleId="a7">
    <w:name w:val="header"/>
    <w:basedOn w:val="a"/>
    <w:link w:val="a8"/>
    <w:uiPriority w:val="99"/>
    <w:unhideWhenUsed/>
    <w:rsid w:val="00324A94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324A94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324A94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324A9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07378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843</Words>
  <Characters>5598</Characters>
  <Application>Microsoft Office Word</Application>
  <DocSecurity>0</DocSecurity>
  <Lines>46</Lines>
  <Paragraphs>12</Paragraphs>
  <ScaleCrop>false</ScaleCrop>
  <Company>SPecialiST RePack</Company>
  <LinksUpToDate>false</LinksUpToDate>
  <CharactersWithSpaces>6429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ГОСТ 11022-95 (ИСО 1171-97) «ТОПЛИВО ТВЕРДОЕ МИНЕРАЛЬНОЕ. М...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2024-04-18T10:17:00Z</dcterms:created>
  <dcterms:modified xsi:type="dcterms:W3CDTF">2024-04-18T10:17:00Z</dcterms:modified>
</cp:coreProperties>
</file>