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356D">
      <w:pPr>
        <w:jc w:val="center"/>
      </w:pPr>
      <w:bookmarkStart w:id="0" w:name="_GoBack"/>
      <w:bookmarkEnd w:id="0"/>
      <w:r>
        <w:rPr>
          <w:rStyle w:val="s1"/>
        </w:rPr>
        <w:t>Решение Комиссии Таможенного союза от 22 июня 2011 года № 683</w:t>
      </w:r>
      <w:r>
        <w:br/>
      </w:r>
      <w:r>
        <w:rPr>
          <w:rStyle w:val="s1"/>
        </w:rPr>
        <w:t>О Перечне товаров и ставок, в отношении которых в течение переходного периода Республикой Казахстан применяются ставки ввозных таможенных пошлин, отличные от ставок Единого таможенного тарифа Таможенного союза и мерах, принятых Республикой Казахстан для об</w:t>
      </w:r>
      <w:r>
        <w:rPr>
          <w:rStyle w:val="s1"/>
        </w:rPr>
        <w:t>еспечения администрирования товаров, включенных в Перечень</w:t>
      </w:r>
      <w:r>
        <w:br/>
      </w:r>
      <w:r>
        <w:rPr>
          <w:rStyle w:val="s1"/>
        </w:rPr>
        <w:t>(г. Москва)</w:t>
      </w:r>
    </w:p>
    <w:p w:rsidR="00000000" w:rsidRDefault="00D3356D">
      <w:pPr>
        <w:jc w:val="center"/>
      </w:pPr>
      <w:r>
        <w:rPr>
          <w:rStyle w:val="s1"/>
        </w:rPr>
        <w:t> </w:t>
      </w:r>
    </w:p>
    <w:p w:rsidR="00000000" w:rsidRDefault="00D3356D">
      <w:pPr>
        <w:jc w:val="both"/>
      </w:pPr>
      <w:r>
        <w:rPr>
          <w:rStyle w:val="s3"/>
        </w:rPr>
        <w:t>Данная редакция действовала до внесения изменений от 23 сентября 2011 года (введены в действие с 1 января 2012 года)</w:t>
      </w:r>
    </w:p>
    <w:p w:rsidR="00000000" w:rsidRDefault="00D3356D">
      <w:pPr>
        <w:ind w:firstLine="400"/>
        <w:jc w:val="both"/>
      </w:pPr>
      <w:r>
        <w:rPr>
          <w:rStyle w:val="s0"/>
        </w:rPr>
        <w:t> </w:t>
      </w:r>
    </w:p>
    <w:p w:rsidR="00000000" w:rsidRDefault="00D3356D">
      <w:pPr>
        <w:ind w:firstLine="400"/>
        <w:jc w:val="both"/>
      </w:pPr>
      <w:r>
        <w:rPr>
          <w:rStyle w:val="s0"/>
        </w:rPr>
        <w:t xml:space="preserve">Комиссия Таможенного союза </w:t>
      </w:r>
      <w:r>
        <w:rPr>
          <w:rStyle w:val="s0"/>
          <w:b/>
          <w:bCs/>
        </w:rPr>
        <w:t>решила</w:t>
      </w:r>
      <w:r>
        <w:rPr>
          <w:rStyle w:val="s0"/>
        </w:rPr>
        <w:t>:</w:t>
      </w:r>
    </w:p>
    <w:p w:rsidR="00000000" w:rsidRDefault="00D3356D">
      <w:pPr>
        <w:ind w:firstLine="400"/>
        <w:jc w:val="both"/>
      </w:pPr>
      <w:r>
        <w:rPr>
          <w:rStyle w:val="s0"/>
        </w:rPr>
        <w:t xml:space="preserve">1. Утвердить </w:t>
      </w:r>
      <w:hyperlink w:anchor="sub1" w:history="1">
        <w:r>
          <w:rPr>
            <w:rStyle w:val="a3"/>
          </w:rPr>
          <w:t>Перечень товаров и ставок</w:t>
        </w:r>
      </w:hyperlink>
      <w:r>
        <w:rPr>
          <w:rStyle w:val="s0"/>
        </w:rPr>
        <w:t>, в отношении которых в течение переходного периода Республикой Казахстан применяются ставки ввозных таможенных пошлин, отличные от ставок Единого таможенного тарифа Таможенного союза (</w:t>
      </w:r>
      <w:hyperlink r:id="rId7" w:history="1">
        <w:r>
          <w:rPr>
            <w:rStyle w:val="a3"/>
          </w:rPr>
          <w:t>Приложение № 5</w:t>
        </w:r>
      </w:hyperlink>
      <w:r>
        <w:rPr>
          <w:rStyle w:val="s0"/>
        </w:rPr>
        <w:t xml:space="preserve"> к Решению Комиссии Таможенного союза от 27 ноября 2009 г. № 130 «О едином таможенно-тарифном регулировании Таможенного союза Республики Беларусь, Республики Казахстан и Российской Федерации») в </w:t>
      </w:r>
      <w:r>
        <w:t>п</w:t>
      </w:r>
      <w:r>
        <w:t>рилагаемой редакции</w:t>
      </w:r>
      <w:r>
        <w:rPr>
          <w:rStyle w:val="s0"/>
        </w:rPr>
        <w:t>.</w:t>
      </w:r>
    </w:p>
    <w:p w:rsidR="00000000" w:rsidRDefault="00D3356D">
      <w:pPr>
        <w:ind w:firstLine="400"/>
        <w:jc w:val="both"/>
      </w:pPr>
      <w:r>
        <w:rPr>
          <w:rStyle w:val="s0"/>
        </w:rPr>
        <w:t>2. Принять к сведению информацию казахстанской Стороны о принятых мерах по обеспечению администрирования товаров, в отношении которых в течение переходного периода Республика Казахстан применяет ставки ввозных таможенных пошлин, отличн</w:t>
      </w:r>
      <w:r>
        <w:rPr>
          <w:rStyle w:val="s0"/>
        </w:rPr>
        <w:t>ые от ставок, установленных Единым таможенным тарифом Таможенного союза.</w:t>
      </w:r>
    </w:p>
    <w:p w:rsidR="00000000" w:rsidRDefault="00D3356D">
      <w:pPr>
        <w:ind w:firstLine="400"/>
        <w:jc w:val="both"/>
      </w:pPr>
      <w:r>
        <w:rPr>
          <w:rStyle w:val="s0"/>
        </w:rPr>
        <w:t>3. Настоящее Решение вступает в силу с 1 июля 2011 года.</w:t>
      </w:r>
    </w:p>
    <w:p w:rsidR="00000000" w:rsidRDefault="00D3356D">
      <w:pPr>
        <w:ind w:firstLine="400"/>
        <w:jc w:val="both"/>
      </w:pPr>
      <w:r>
        <w:rPr>
          <w:rStyle w:val="s0"/>
        </w:rPr>
        <w:t> </w:t>
      </w:r>
    </w:p>
    <w:p w:rsidR="00000000" w:rsidRDefault="00D3356D">
      <w:pPr>
        <w:ind w:firstLine="400"/>
        <w:jc w:val="both"/>
      </w:pPr>
      <w:r>
        <w:rPr>
          <w:rStyle w:val="s0"/>
        </w:rPr>
        <w:t> </w:t>
      </w:r>
    </w:p>
    <w:p w:rsidR="00000000" w:rsidRDefault="00D3356D">
      <w:pPr>
        <w:jc w:val="center"/>
      </w:pPr>
      <w:r>
        <w:rPr>
          <w:rStyle w:val="s0"/>
          <w:b/>
          <w:bCs/>
        </w:rPr>
        <w:t>Члены Комиссии Таможенного союза:</w:t>
      </w:r>
    </w:p>
    <w:p w:rsidR="00000000" w:rsidRDefault="00D3356D">
      <w:pPr>
        <w:jc w:val="center"/>
      </w:pPr>
      <w:r>
        <w:rPr>
          <w:rStyle w:val="s0"/>
          <w:b/>
          <w:bCs/>
        </w:rPr>
        <w:t> </w:t>
      </w:r>
    </w:p>
    <w:tbl>
      <w:tblPr>
        <w:tblW w:w="5000" w:type="pct"/>
        <w:tblCellMar>
          <w:left w:w="0" w:type="dxa"/>
          <w:right w:w="0" w:type="dxa"/>
        </w:tblCellMar>
        <w:tblLook w:val="04A0" w:firstRow="1" w:lastRow="0" w:firstColumn="1" w:lastColumn="0" w:noHBand="0" w:noVBand="1"/>
      </w:tblPr>
      <w:tblGrid>
        <w:gridCol w:w="3187"/>
        <w:gridCol w:w="3189"/>
        <w:gridCol w:w="3195"/>
      </w:tblGrid>
      <w:tr w:rsidR="00000000">
        <w:tc>
          <w:tcPr>
            <w:tcW w:w="1665" w:type="pct"/>
            <w:tcMar>
              <w:top w:w="0" w:type="dxa"/>
              <w:left w:w="108" w:type="dxa"/>
              <w:bottom w:w="0" w:type="dxa"/>
              <w:right w:w="108" w:type="dxa"/>
            </w:tcMar>
            <w:hideMark/>
          </w:tcPr>
          <w:p w:rsidR="00000000" w:rsidRDefault="00D3356D">
            <w:pPr>
              <w:jc w:val="center"/>
            </w:pPr>
            <w:r>
              <w:rPr>
                <w:rStyle w:val="s0"/>
                <w:b/>
                <w:bCs/>
              </w:rPr>
              <w:t>От Республики</w:t>
            </w:r>
          </w:p>
          <w:p w:rsidR="00000000" w:rsidRDefault="00D3356D">
            <w:pPr>
              <w:jc w:val="center"/>
            </w:pPr>
            <w:r>
              <w:rPr>
                <w:rStyle w:val="s0"/>
                <w:b/>
                <w:bCs/>
              </w:rPr>
              <w:t>Беларусь</w:t>
            </w:r>
          </w:p>
        </w:tc>
        <w:tc>
          <w:tcPr>
            <w:tcW w:w="1666" w:type="pct"/>
            <w:tcMar>
              <w:top w:w="0" w:type="dxa"/>
              <w:left w:w="108" w:type="dxa"/>
              <w:bottom w:w="0" w:type="dxa"/>
              <w:right w:w="108" w:type="dxa"/>
            </w:tcMar>
            <w:hideMark/>
          </w:tcPr>
          <w:p w:rsidR="00000000" w:rsidRDefault="00D3356D">
            <w:pPr>
              <w:jc w:val="center"/>
            </w:pPr>
            <w:r>
              <w:rPr>
                <w:rStyle w:val="s0"/>
                <w:b/>
                <w:bCs/>
              </w:rPr>
              <w:t>От Республики</w:t>
            </w:r>
          </w:p>
          <w:p w:rsidR="00000000" w:rsidRDefault="00D3356D">
            <w:pPr>
              <w:jc w:val="center"/>
            </w:pPr>
            <w:r>
              <w:rPr>
                <w:rStyle w:val="s0"/>
                <w:b/>
                <w:bCs/>
              </w:rPr>
              <w:t>Казахстан</w:t>
            </w:r>
          </w:p>
        </w:tc>
        <w:tc>
          <w:tcPr>
            <w:tcW w:w="1669" w:type="pct"/>
            <w:tcMar>
              <w:top w:w="0" w:type="dxa"/>
              <w:left w:w="108" w:type="dxa"/>
              <w:bottom w:w="0" w:type="dxa"/>
              <w:right w:w="108" w:type="dxa"/>
            </w:tcMar>
            <w:hideMark/>
          </w:tcPr>
          <w:p w:rsidR="00000000" w:rsidRDefault="00D3356D">
            <w:pPr>
              <w:jc w:val="center"/>
            </w:pPr>
            <w:r>
              <w:rPr>
                <w:rStyle w:val="s0"/>
                <w:b/>
                <w:bCs/>
              </w:rPr>
              <w:t>От Российской</w:t>
            </w:r>
          </w:p>
          <w:p w:rsidR="00000000" w:rsidRDefault="00D3356D">
            <w:pPr>
              <w:jc w:val="center"/>
            </w:pPr>
            <w:r>
              <w:rPr>
                <w:rStyle w:val="s0"/>
                <w:b/>
                <w:bCs/>
              </w:rPr>
              <w:t>Федерации</w:t>
            </w:r>
          </w:p>
        </w:tc>
      </w:tr>
      <w:tr w:rsidR="00000000">
        <w:tc>
          <w:tcPr>
            <w:tcW w:w="1665" w:type="pct"/>
            <w:tcMar>
              <w:top w:w="0" w:type="dxa"/>
              <w:left w:w="108" w:type="dxa"/>
              <w:bottom w:w="0" w:type="dxa"/>
              <w:right w:w="108" w:type="dxa"/>
            </w:tcMar>
            <w:hideMark/>
          </w:tcPr>
          <w:p w:rsidR="00000000" w:rsidRDefault="00D3356D">
            <w:pPr>
              <w:jc w:val="center"/>
            </w:pPr>
            <w:r>
              <w:rPr>
                <w:rStyle w:val="s0"/>
                <w:b/>
                <w:bCs/>
              </w:rPr>
              <w:t> </w:t>
            </w:r>
          </w:p>
          <w:p w:rsidR="00000000" w:rsidRDefault="00D3356D">
            <w:pPr>
              <w:jc w:val="center"/>
            </w:pPr>
            <w:r>
              <w:rPr>
                <w:rStyle w:val="s0"/>
                <w:b/>
                <w:bCs/>
              </w:rPr>
              <w:t>С. Румас</w:t>
            </w:r>
          </w:p>
        </w:tc>
        <w:tc>
          <w:tcPr>
            <w:tcW w:w="1666" w:type="pct"/>
            <w:tcMar>
              <w:top w:w="0" w:type="dxa"/>
              <w:left w:w="108" w:type="dxa"/>
              <w:bottom w:w="0" w:type="dxa"/>
              <w:right w:w="108" w:type="dxa"/>
            </w:tcMar>
            <w:hideMark/>
          </w:tcPr>
          <w:p w:rsidR="00000000" w:rsidRDefault="00D3356D">
            <w:pPr>
              <w:jc w:val="center"/>
            </w:pPr>
            <w:r>
              <w:rPr>
                <w:rStyle w:val="s0"/>
                <w:b/>
                <w:bCs/>
              </w:rPr>
              <w:t> </w:t>
            </w:r>
          </w:p>
          <w:p w:rsidR="00000000" w:rsidRDefault="00D3356D">
            <w:pPr>
              <w:jc w:val="center"/>
            </w:pPr>
            <w:r>
              <w:rPr>
                <w:rStyle w:val="s0"/>
                <w:b/>
                <w:bCs/>
              </w:rPr>
              <w:t>У. Шукеев</w:t>
            </w:r>
          </w:p>
        </w:tc>
        <w:tc>
          <w:tcPr>
            <w:tcW w:w="1669" w:type="pct"/>
            <w:tcMar>
              <w:top w:w="0" w:type="dxa"/>
              <w:left w:w="108" w:type="dxa"/>
              <w:bottom w:w="0" w:type="dxa"/>
              <w:right w:w="108" w:type="dxa"/>
            </w:tcMar>
            <w:hideMark/>
          </w:tcPr>
          <w:p w:rsidR="00000000" w:rsidRDefault="00D3356D">
            <w:pPr>
              <w:jc w:val="center"/>
            </w:pPr>
            <w:r>
              <w:rPr>
                <w:rStyle w:val="s0"/>
                <w:b/>
                <w:bCs/>
              </w:rPr>
              <w:t> </w:t>
            </w:r>
          </w:p>
          <w:p w:rsidR="00000000" w:rsidRDefault="00D3356D">
            <w:pPr>
              <w:jc w:val="center"/>
            </w:pPr>
            <w:r>
              <w:rPr>
                <w:rStyle w:val="s0"/>
                <w:b/>
                <w:bCs/>
              </w:rPr>
              <w:t>И. Шувалов</w:t>
            </w:r>
          </w:p>
        </w:tc>
      </w:tr>
    </w:tbl>
    <w:p w:rsidR="00000000" w:rsidRDefault="00D3356D">
      <w:r>
        <w:rPr>
          <w:rFonts w:ascii="Arial" w:hAnsi="Arial" w:cs="Arial"/>
        </w:rPr>
        <w:t> </w:t>
      </w:r>
    </w:p>
    <w:p w:rsidR="00000000" w:rsidRDefault="00D3356D">
      <w:pPr>
        <w:jc w:val="right"/>
      </w:pPr>
      <w:bookmarkStart w:id="1" w:name="SUB1"/>
      <w:bookmarkEnd w:id="1"/>
      <w:r>
        <w:rPr>
          <w:rStyle w:val="s0"/>
        </w:rPr>
        <w:t>УТВЕРЖДЕН</w:t>
      </w:r>
    </w:p>
    <w:p w:rsidR="00000000" w:rsidRDefault="00D3356D">
      <w:pPr>
        <w:jc w:val="right"/>
      </w:pPr>
      <w:hyperlink w:anchor="sub0" w:history="1">
        <w:r>
          <w:rPr>
            <w:rStyle w:val="a3"/>
          </w:rPr>
          <w:t>Решением</w:t>
        </w:r>
      </w:hyperlink>
      <w:r>
        <w:rPr>
          <w:rStyle w:val="s0"/>
        </w:rPr>
        <w:t xml:space="preserve"> Комиссии</w:t>
      </w:r>
    </w:p>
    <w:p w:rsidR="00000000" w:rsidRDefault="00D3356D">
      <w:pPr>
        <w:jc w:val="right"/>
      </w:pPr>
      <w:r>
        <w:rPr>
          <w:rStyle w:val="s0"/>
        </w:rPr>
        <w:t>Таможенного союза</w:t>
      </w:r>
    </w:p>
    <w:p w:rsidR="00000000" w:rsidRDefault="00D3356D">
      <w:pPr>
        <w:jc w:val="right"/>
      </w:pPr>
      <w:r>
        <w:rPr>
          <w:rStyle w:val="s0"/>
        </w:rPr>
        <w:t>от 22 июня 2011 г. № 683</w:t>
      </w:r>
    </w:p>
    <w:p w:rsidR="00000000" w:rsidRDefault="00D3356D">
      <w:pPr>
        <w:jc w:val="center"/>
      </w:pPr>
      <w:r>
        <w:rPr>
          <w:rStyle w:val="s1"/>
        </w:rPr>
        <w:t> </w:t>
      </w:r>
    </w:p>
    <w:p w:rsidR="00000000" w:rsidRDefault="00D3356D">
      <w:pPr>
        <w:jc w:val="center"/>
      </w:pPr>
      <w:r>
        <w:rPr>
          <w:rStyle w:val="s1"/>
        </w:rPr>
        <w:t> </w:t>
      </w:r>
    </w:p>
    <w:p w:rsidR="00000000" w:rsidRDefault="00D3356D">
      <w:pPr>
        <w:jc w:val="center"/>
      </w:pPr>
      <w:r>
        <w:rPr>
          <w:rStyle w:val="s1"/>
        </w:rPr>
        <w:t xml:space="preserve">Перечень товаров и ставок, в отношении которых </w:t>
      </w:r>
    </w:p>
    <w:p w:rsidR="00000000" w:rsidRDefault="00D3356D">
      <w:pPr>
        <w:jc w:val="center"/>
      </w:pPr>
      <w:r>
        <w:rPr>
          <w:rStyle w:val="s1"/>
        </w:rPr>
        <w:t xml:space="preserve">в течение переходного периода Республикой Казахстан применяются ставки ввозных таможенных пошлин, </w:t>
      </w:r>
    </w:p>
    <w:p w:rsidR="00000000" w:rsidRDefault="00D3356D">
      <w:pPr>
        <w:jc w:val="center"/>
      </w:pPr>
      <w:r>
        <w:rPr>
          <w:rStyle w:val="s1"/>
        </w:rPr>
        <w:t>отличные от ставок, установленных Единым таможенным тарифом Таможенного союза</w:t>
      </w:r>
    </w:p>
    <w:p w:rsidR="00000000" w:rsidRDefault="00D3356D">
      <w:pPr>
        <w:jc w:val="center"/>
      </w:pPr>
      <w:r>
        <w:rPr>
          <w:rStyle w:val="s1"/>
        </w:rPr>
        <w:t> </w:t>
      </w:r>
    </w:p>
    <w:p w:rsidR="00000000" w:rsidRDefault="00D3356D">
      <w:pPr>
        <w:jc w:val="right"/>
      </w:pPr>
      <w:r>
        <w:rPr>
          <w:b/>
          <w:bCs/>
          <w:sz w:val="26"/>
          <w:szCs w:val="26"/>
        </w:rPr>
        <w:t> </w:t>
      </w:r>
    </w:p>
    <w:tbl>
      <w:tblPr>
        <w:tblW w:w="5000" w:type="pct"/>
        <w:tblCellMar>
          <w:left w:w="0" w:type="dxa"/>
          <w:right w:w="0" w:type="dxa"/>
        </w:tblCellMar>
        <w:tblLook w:val="04A0" w:firstRow="1" w:lastRow="0" w:firstColumn="1" w:lastColumn="0" w:noHBand="0" w:noVBand="1"/>
      </w:tblPr>
      <w:tblGrid>
        <w:gridCol w:w="821"/>
        <w:gridCol w:w="3342"/>
        <w:gridCol w:w="949"/>
        <w:gridCol w:w="949"/>
        <w:gridCol w:w="949"/>
        <w:gridCol w:w="949"/>
        <w:gridCol w:w="949"/>
        <w:gridCol w:w="60"/>
        <w:gridCol w:w="949"/>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xml:space="preserve">Код </w:t>
            </w:r>
            <w:hyperlink r:id="rId8" w:history="1">
              <w:r>
                <w:rPr>
                  <w:rStyle w:val="a3"/>
                  <w:b/>
                  <w:bCs/>
                  <w:sz w:val="22"/>
                  <w:szCs w:val="22"/>
                </w:rPr>
                <w:t xml:space="preserve">ТН </w:t>
              </w:r>
              <w:r>
                <w:rPr>
                  <w:rStyle w:val="a3"/>
                  <w:b/>
                  <w:bCs/>
                  <w:sz w:val="22"/>
                  <w:szCs w:val="22"/>
                </w:rPr>
                <w:t>ВЭД ТС</w:t>
              </w:r>
            </w:hyperlink>
          </w:p>
        </w:tc>
        <w:tc>
          <w:tcPr>
            <w:tcW w:w="19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xml:space="preserve">Ставка </w:t>
            </w:r>
          </w:p>
          <w:p w:rsidR="00000000" w:rsidRDefault="00D3356D">
            <w:pPr>
              <w:jc w:val="center"/>
            </w:pPr>
            <w:r>
              <w:rPr>
                <w:b/>
                <w:bCs/>
                <w:sz w:val="22"/>
                <w:szCs w:val="22"/>
              </w:rPr>
              <w:t xml:space="preserve">на 2015 г.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ФАРМАЦЕВТИЧЕСКАЯ ПРОДУКЦИЯ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3001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 xml:space="preserve">Железы и прочие органы, предназначенные для органотерапии, высушенные, измельченные или не измельченные в порошок; экстракты желез или прочих органов или их секретов, предназначенные для органотерапии; гепарин и его соли; прочие вещества человеческого или </w:t>
            </w:r>
            <w:r>
              <w:rPr>
                <w:b/>
                <w:bCs/>
                <w:sz w:val="22"/>
                <w:szCs w:val="22"/>
              </w:rPr>
              <w:t>животного происхождения, подготовленные для использования в терапевтических или профилактических целях, в другом месте не поименованные или не включенные: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экстракты желез или прочих органов или их секретов: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3001 20 100 0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человеческого происхождения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3001 20 900 0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3001 90 200 0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человеческого происхождения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3001 90 910 0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гепарин и его соли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3001 90 980 0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3002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Кровь человеческая; кровь животных, приготовленная для использования в терапевтических, профилактических или диагностических целях; сыворотки иммунные и фракции крови прочие и модифицированные иммунологические продукты, в том числе полученны</w:t>
            </w:r>
            <w:r>
              <w:rPr>
                <w:b/>
                <w:bCs/>
                <w:sz w:val="22"/>
                <w:szCs w:val="22"/>
              </w:rPr>
              <w:t>е методами биотехнологии; вакцины, токсины, культуры микроорганизмов (кроме дрожжей) и аналогичные продукты: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 xml:space="preserve">Ставка </w:t>
            </w:r>
          </w:p>
          <w:p w:rsidR="00000000" w:rsidRDefault="00D3356D">
            <w:pPr>
              <w:jc w:val="center"/>
            </w:pPr>
            <w:r>
              <w:rPr>
                <w:b/>
                <w:bCs/>
                <w:sz w:val="22"/>
                <w:szCs w:val="22"/>
              </w:rPr>
              <w:t xml:space="preserve">на 2015 г.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сыворотки иммунные и фракции крови прочие и модифицированные иммунологические продукты, в том числе полученные методами биотехнологии: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сыворотки иммунные: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против яда змей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3002 10 910 0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w:t>
            </w:r>
            <w:r>
              <w:rPr>
                <w:sz w:val="22"/>
                <w:szCs w:val="22"/>
              </w:rPr>
              <w:t> - - гемоглобин, глобулины крови и сывороточные глобулины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3002 10 950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человеческого происхождения: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3002 10 950 1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 </w:t>
            </w:r>
            <w:r>
              <w:rPr>
                <w:sz w:val="22"/>
                <w:szCs w:val="22"/>
              </w:rPr>
              <w:t>факторы свертываемости крови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3002 10 950 9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3002 10 990 0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3002 20 000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вакцины для людей: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3002 20 000 1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против краснухи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3002 20 000 2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против гепатита 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3002 20 000 9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3002 30 000 0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вакцины ветеринарные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3002 90 100 0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кровь человеческая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3002 90 300 0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кровь животных, приготовленная для использования в терапевтических, профилактических или диагностических целях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3002 90 500 0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культуры микроорганизмов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3002 90 900 0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3004</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Лекарственные средства (кроме товаров товарной позиции 3002, 3005 или 3006), состоящие из смешанных или несмешанных продуктов, для использования в терапевтических или профилактических целях, расфасованные в виде дозированных лекарственных форм (включая лек</w:t>
            </w:r>
            <w:r>
              <w:rPr>
                <w:b/>
                <w:bCs/>
                <w:sz w:val="22"/>
                <w:szCs w:val="22"/>
              </w:rPr>
              <w:t>арственные средства в форме трансдермальных систем) или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w:t>
            </w:r>
            <w:r>
              <w:rPr>
                <w:sz w:val="22"/>
                <w:szCs w:val="22"/>
              </w:rPr>
              <w:t>содержащие пенициллины или их производные, имеющие структуру пенициллановой кислоты, или содержащие стрептомицины или их производные: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w:t>
            </w:r>
            <w:r>
              <w:rPr>
                <w:sz w:val="22"/>
                <w:szCs w:val="22"/>
              </w:rPr>
              <w:t>содержащие в качестве активных веществ только пенициллины или их производные, имеющие структуру пенициллановой кислоты: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w:t>
            </w:r>
            <w:r>
              <w:rPr>
                <w:sz w:val="22"/>
                <w:szCs w:val="22"/>
              </w:rPr>
              <w:t>содержащие в качестве основного действующего вещества только: ампициллина тригидрат или ампициллина натриевую соль, или бензилпенициллина соли и соединения, или карбенициллин, или оксациллин, или сулациллин (сультамициллин), или феноксиметилпенициллин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3004 10 100 2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расфасованные или представленные в виде дозированных лекарственных форм, но не упакованные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расфасованные или представленные в виде дозированных лекарственных форм, но не упакованные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содержащие в качестве основного действующего вещества только стрептомицина сульфат</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3004 10 900 2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3004 10 900 9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содержащие прочие антибиотики: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w:t>
            </w:r>
            <w:r>
              <w:rPr>
                <w:sz w:val="22"/>
                <w:szCs w:val="22"/>
              </w:rPr>
              <w:t>содержащие в качестве основного действующего вещества только: амикацин или гентамицин, или гризеофульвин, или доксициклин, или доксорубицин, или канамицин, или кислоту фузидиевую и ее натриевую соль, или левомицетин (хлорамфеникол) и его соли, или линкомиц</w:t>
            </w:r>
            <w:r>
              <w:rPr>
                <w:sz w:val="22"/>
                <w:szCs w:val="22"/>
              </w:rPr>
              <w:t>ин, или метациклин, или нистатин, или рифампицин, или цефазолин, или цефалексин, или цефалотин, или эритромицина основание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содержащие в качестве основного действующего вещества только эритромицина основание или канамицина сульфат</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3004 20 900 9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содержащие гормоны или прочие соединения товарной позиции 2937, но не содержащие антибиотиков: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содержащие кортикостероидные гормоны, их производные или структурные аналоги: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3004 32 100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3004 32 100 1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содержащие в качестве основного действующего вещества только флуоцинолон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3004 32 100 9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3004 32 900 0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3004 39 100 0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3004 39 900 0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3004 40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содержащие алкалоиды или их производные, но не содержащие гормонов, прочих соединений товарной позиции 2937 или антибиотиков: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3004 40 100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3004 40 100 1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w:t>
            </w:r>
            <w:r>
              <w:rPr>
                <w:sz w:val="22"/>
                <w:szCs w:val="22"/>
              </w:rPr>
              <w:t>содержащие в качестве основного действующего вещества только: кофеин-бензоат натрия или ксантинола никотинат, или папаверин, или пилокарпин, или теобромин, или теофиллин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3004 40 100 9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3004 40 900 0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лекарственные средства прочие, содержащие витамины или другие соединения товарной позиции 2936:</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w:t>
            </w:r>
            <w:r>
              <w:rPr>
                <w:sz w:val="22"/>
                <w:szCs w:val="22"/>
              </w:rPr>
              <w:t>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w:t>
            </w:r>
            <w:r>
              <w:rPr>
                <w:sz w:val="22"/>
                <w:szCs w:val="22"/>
              </w:rPr>
              <w:t>содержащие в качестве основного действующего вещества только: кислоту аскорбиновую (витамин С) или кислоту никотиновую, или кокарбоксилазу, или никотинамид, или пиридоксин, или тиамин и его соли (витамин В</w:t>
            </w:r>
            <w:r>
              <w:rPr>
                <w:sz w:val="22"/>
                <w:szCs w:val="22"/>
                <w:vertAlign w:val="subscript"/>
              </w:rPr>
              <w:t>1</w:t>
            </w:r>
            <w:r>
              <w:rPr>
                <w:sz w:val="22"/>
                <w:szCs w:val="22"/>
              </w:rPr>
              <w:t>), цианокобаламин (витамин В</w:t>
            </w:r>
            <w:r>
              <w:rPr>
                <w:sz w:val="22"/>
                <w:szCs w:val="22"/>
                <w:vertAlign w:val="subscript"/>
              </w:rPr>
              <w:t>12</w:t>
            </w:r>
            <w:r>
              <w:rPr>
                <w:sz w:val="22"/>
                <w:szCs w:val="22"/>
              </w:rPr>
              <w:t>)</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w:t>
            </w:r>
            <w:r>
              <w:rPr>
                <w:sz w:val="22"/>
                <w:szCs w:val="22"/>
              </w:rPr>
              <w:t>содержащие в качестве основного действующего вещества только альфа-токоферола ацетат (витамин 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3004 50 900 2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содержащие в качестве основного действующего вещества только: кокарбоксилазу или кислоту аскорбиновую (витамин С), или цианокобаламин (витамин В</w:t>
            </w:r>
            <w:r>
              <w:rPr>
                <w:sz w:val="22"/>
                <w:szCs w:val="22"/>
                <w:vertAlign w:val="subscript"/>
              </w:rPr>
              <w:t>12</w:t>
            </w:r>
            <w:r>
              <w:rPr>
                <w:sz w:val="22"/>
                <w:szCs w:val="22"/>
              </w:rPr>
              <w:t>)</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3004 50 900 9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3004 90 110 0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w:t>
            </w:r>
            <w:r>
              <w:rPr>
                <w:sz w:val="22"/>
                <w:szCs w:val="22"/>
              </w:rPr>
              <w:t>содержащие йод или соединения йода</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3004 90 190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3004 90 190 1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 </w:t>
            </w:r>
            <w:r>
              <w:rPr>
                <w:sz w:val="22"/>
                <w:szCs w:val="22"/>
              </w:rPr>
              <w:t>содержащие в качестве основного действующего вещества только: натриевую соль аденозинтрифосфорной кислоты (АТФ) или ацетилсалициловую кислоту (кроме лекарственных средств в виде таблеток, покрытых энтеросолюбильной оболочкой, содержащих в качестве действую</w:t>
            </w:r>
            <w:r>
              <w:rPr>
                <w:sz w:val="22"/>
                <w:szCs w:val="22"/>
              </w:rPr>
              <w:t>щего вещества ацетилсалициловую кислоту), или бензокаин, или бискалцитрат (коллоидный субцитрат висмута), или верапамил, или гамма-аминомасляную кислоту, или дибазол, или диклофенак натрия, или димедрол, или ибупрофен, или корвалол, или валидол, или изосор</w:t>
            </w:r>
            <w:r>
              <w:rPr>
                <w:sz w:val="22"/>
                <w:szCs w:val="22"/>
              </w:rPr>
              <w:t>бид динитрат, или инозин (рибоксин), каптоприл, или кетамин, или кетотифен, или клозапин, или кломифен цитрат, или лидокаин, или липоевая кислота, или лития карбонат, или метазид, или метамизол (анальгин), или метенамин или метилурацил, или метионин, или м</w:t>
            </w:r>
            <w:r>
              <w:rPr>
                <w:sz w:val="22"/>
                <w:szCs w:val="22"/>
              </w:rPr>
              <w:t>етронидазол, или натрия хлорид, или нафазолин, или нитроксолин, или нифедипин (кроме лекарственных средств в форме двуслойных таблеток, с лазерной перфорацией полупроницаемой мембраны, полимерным слоем и слоем действующего активного вещества - нифедипина в</w:t>
            </w:r>
            <w:r>
              <w:rPr>
                <w:sz w:val="22"/>
                <w:szCs w:val="22"/>
              </w:rPr>
              <w:t xml:space="preserve"> осмотическом состоянии), или ницетамид, или панкреатин, или парацетамол, или пентаэритритил тетранитрат, или пиперазин, или пирацетам, или пиреноксин, или пирикарбат, или пироксикам, или полиамин, или поливинилпирролидон, или примидон, или пробукол, или п</w:t>
            </w:r>
            <w:r>
              <w:rPr>
                <w:sz w:val="22"/>
                <w:szCs w:val="22"/>
              </w:rPr>
              <w:t>рокаин (новокаин), или пропранолол, или ранитидин, или сальбутамол, или суксаметоний, или сульфадиметоксин, или сульфален, или таурин, или фенобарбитал, или фталилсульфатиазол, или фуросемид, или хлорхинальдол, или церебролизат, или циннаризин, или ципрофл</w:t>
            </w:r>
            <w:r>
              <w:rPr>
                <w:sz w:val="22"/>
                <w:szCs w:val="22"/>
              </w:rPr>
              <w:t>оксацин (кроме лекарственных средств в форме инфузионного раствора для внутривенного введения, содержащих в качестве действующего вещества ципрофлоксацин), или цитрапар, или цитрамон-П, или этамзилат</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3004 90 190 9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3004 90 910 0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содержащие йод или соединения йода</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3004 90 990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3004 90 990 1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 </w:t>
            </w:r>
            <w:r>
              <w:rPr>
                <w:sz w:val="22"/>
                <w:szCs w:val="22"/>
              </w:rPr>
              <w:t>содержащие в качестве основного действующего вещества только: кислоту ацетилсалициловую или парацетамол, или рибоксин (инозин), или поливинилпирролидон</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3004 90 990 9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3006</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Фармацевтическая продукция, упомянутая в примечании 4 к данной группе: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3006 10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w:t>
            </w:r>
            <w:r>
              <w:rPr>
                <w:sz w:val="22"/>
                <w:szCs w:val="22"/>
              </w:rPr>
              <w:t>кетгут хирургический стерильный, аналогичные стерильные материалы для наложения швов (включая стерильные рассасывающиеся хирургические или стоматологические нити) и стерильные адгезивные ткани для хирургического закрытия ран; ламинария стерильная и тампоны</w:t>
            </w:r>
            <w:r>
              <w:rPr>
                <w:sz w:val="22"/>
                <w:szCs w:val="22"/>
              </w:rPr>
              <w:t xml:space="preserve"> из ламинарии стерильные; стерильные рассасывающиеся хирургические или стоматологические кровоостанавливающие средства (гемостатики); стерильные хирургические или стоматологические адгезионные барьеры, рассасывающиеся или нерассасывающиеся: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3006 10 100 0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кетгут хирургический стерильный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xml:space="preserve">ставка ЕТТ ТС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3006 10 300 0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стерильные хирургические или стоматологические адгезионные барьеры, рассасывающиеся или нерассасывающиеся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3006 10 900 0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3006 20 000 0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реагенты для определения группы крови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3006 30 000 0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r>
              <w:rPr>
                <w:sz w:val="22"/>
                <w:szCs w:val="22"/>
              </w:rPr>
              <w:t>препараты контрастные для рентгенографических обследований; реагенты диагностические, предназначенные для введения больным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3006 40 000 0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r>
              <w:rPr>
                <w:sz w:val="22"/>
                <w:szCs w:val="22"/>
              </w:rPr>
              <w:t>цементы зубные и материалы для пломбирования зубов прочие; цементы, реконструирующие кость</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3006 50 000 0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сумки санитарные и наборы для оказания первой помощи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3006 60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r>
              <w:rPr>
                <w:sz w:val="22"/>
                <w:szCs w:val="22"/>
              </w:rPr>
              <w:t>средства химические контрацептивные на основе гормонов, прочих соединений товарной позиции 2937 или спермицидов: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на основе гормонов или прочих соединений товарной позиции 2937:</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3006 60 110 0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расфасованные в формы или упаковки для розничной продажи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3006 60 190 0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3006 60 900 0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на основе спермицидов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3006 70 000 0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препараты в виде геля, предназначенные для использования в медицине или ветеринарии в качестве смазки для частей тела при хирургических операциях или физических исследованиях или в качестве связующего агента между телом и медицинскими инст</w:t>
            </w:r>
            <w:r>
              <w:rPr>
                <w:sz w:val="22"/>
                <w:szCs w:val="22"/>
              </w:rPr>
              <w:t>рументами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3006 92 000 0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непригодные фармацевтические средства</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ПЛАСТМАССЫ И ИЗДЕЛИЯ ИЗ НИХ; КАУЧУК, РЕЗИНА И ИЗДЕЛИЯ ИЗ НИХ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3901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Полимеры этилена в первичных формах: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3901 20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полиэтилен с удельным весом 0,94 или более: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3901 20 900 0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7607</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Фольга алюминиевая (без основы или на основе из бумаги, картона, пластмассы или аналогичных материалов) толщиной (не считая основы) не более 0,2 мм: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без основы: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7607 11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w:t>
            </w:r>
            <w:r>
              <w:rPr>
                <w:sz w:val="22"/>
                <w:szCs w:val="22"/>
              </w:rPr>
              <w:t>катаная, но без дальнейшей обработки: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7607 11 100 0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толщиной менее 0,021 мм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7607 20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с основой:</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7607 20 100 0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толщиной (не считая основы) менее 0,021 мм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ЖЕЛЕЗНОДОРОЖНЫЕ ЛОКОМОТИВЫ ИЛИ МОТОРНЫЕ ВАГОНЫ ТРАМВАЯ, ПОДВИЖНОЙ СОСТАВ И ИХ ЧАСТИ; ПУТЕВОЕ ОБОРУДОВАНИЕ И УСТРОЙСТВА ДЛЯ ЖЕЛЕЗНЫХ ДОРОГ ИЛИ ТРАМВАЙНЫХ ПУТЕЙ И ИХ ЧАСТИ; МЕХАНИЧЕСКОЕ (ВКЛЮЧАЯ ЭЛЕКТРОМЕХАНИЧЕСКОЕ) СИГНАЛЬНОЕ ОБОРУДОВАНИЕ ВСЕХ ВИДОВ</w:t>
            </w:r>
          </w:p>
          <w:p w:rsidR="00000000" w:rsidRDefault="00D3356D">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8603</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Моторные железнодорожные или трамвайные вагоны пассажирские, товарные или багажные, открытые платформы, кроме входящих в товарную позицию 8604:</w:t>
            </w:r>
          </w:p>
          <w:p w:rsidR="00000000" w:rsidRDefault="00D3356D">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8603 10 000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r>
              <w:rPr>
                <w:sz w:val="22"/>
                <w:szCs w:val="22"/>
              </w:rPr>
              <w:t>с питанием от внешнего источника электроэнергии:</w:t>
            </w:r>
          </w:p>
          <w:p w:rsidR="00000000" w:rsidRDefault="00D3356D">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8603 10 000 8</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p w:rsidR="00000000" w:rsidRDefault="00D3356D">
            <w:r>
              <w:rPr>
                <w:sz w:val="22"/>
                <w:szCs w:val="22"/>
              </w:rPr>
              <w:t>- - прочие</w:t>
            </w:r>
          </w:p>
          <w:p w:rsidR="00000000" w:rsidRDefault="00D3356D">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8603 90 000 0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xml:space="preserve">-  прочие </w:t>
            </w:r>
          </w:p>
          <w:p w:rsidR="00000000" w:rsidRDefault="00D3356D">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8604 00 000 0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Транспортные средства самоходные или несамоходные, предназначенные для ремонта или технического обслуживания железнодорожных или трамвайных путей (например, вагоны-мастерские, краны, шпалоподбивочные машины, путерихтовочные машины, контрольно-измерительные</w:t>
            </w:r>
            <w:r>
              <w:rPr>
                <w:b/>
                <w:bCs/>
                <w:sz w:val="22"/>
                <w:szCs w:val="22"/>
              </w:rPr>
              <w:t xml:space="preserve"> вагоны и транспортные средства для осмотра пути)</w:t>
            </w:r>
          </w:p>
          <w:p w:rsidR="00000000" w:rsidRDefault="00D3356D">
            <w:pPr>
              <w:jc w:val="both"/>
            </w:pPr>
            <w:r>
              <w:rPr>
                <w:b/>
                <w:bCs/>
                <w:sz w:val="22"/>
                <w:szCs w:val="22"/>
              </w:rPr>
              <w:t> </w:t>
            </w:r>
          </w:p>
          <w:p w:rsidR="00000000" w:rsidRDefault="00D3356D">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8605 00 000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Вагоны железнодорожные или трамвайные, пассажирские несамоходные; вагоны багажные, почтовые и прочие специальные железнодорожные или трамвайные, несамоходные (кроме входящих в товарную позицию 8604):</w:t>
            </w:r>
          </w:p>
          <w:p w:rsidR="00000000" w:rsidRDefault="00D3356D">
            <w:pPr>
              <w:jc w:val="both"/>
            </w:pPr>
            <w:r>
              <w:rPr>
                <w:b/>
                <w:bCs/>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p w:rsidR="00000000" w:rsidRDefault="00D3356D">
            <w:r>
              <w:rPr>
                <w:sz w:val="22"/>
                <w:szCs w:val="22"/>
              </w:rPr>
              <w:t>- прочие:</w:t>
            </w:r>
          </w:p>
          <w:p w:rsidR="00000000" w:rsidRDefault="00D3356D">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8605 00 000 8</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p w:rsidR="00000000" w:rsidRDefault="00D3356D">
            <w:r>
              <w:rPr>
                <w:sz w:val="22"/>
                <w:szCs w:val="22"/>
              </w:rPr>
              <w:t> </w:t>
            </w:r>
          </w:p>
          <w:p w:rsidR="00000000" w:rsidRDefault="00D3356D">
            <w:r>
              <w:rPr>
                <w:sz w:val="22"/>
                <w:szCs w:val="22"/>
              </w:rPr>
              <w:t> </w:t>
            </w:r>
          </w:p>
          <w:p w:rsidR="00000000" w:rsidRDefault="00D3356D">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8606</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Вагоны железнодорожные или трамвайные, грузовые несамоходные: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8606 10 000 0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вагоны-цистерны всех типов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8606 30 000 0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вагоны саморазгружающиеся, кроме входящих в субпозицию 8606 10</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8606 91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крытые и закрывающиеся: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8606 91 100 0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 - специально предназначенные для перевозки высокорадиоактивных материалов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8606 91 800 0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8606 92 000 0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открытые, с несъемными бортами высотой более 60 см</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8606 99 000 0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p w:rsidR="00000000" w:rsidRDefault="00D3356D">
            <w:r>
              <w:rPr>
                <w:sz w:val="22"/>
                <w:szCs w:val="22"/>
              </w:rPr>
              <w:t>- - прочие</w:t>
            </w:r>
          </w:p>
          <w:p w:rsidR="00000000" w:rsidRDefault="00D3356D">
            <w:r>
              <w:rPr>
                <w:sz w:val="22"/>
                <w:szCs w:val="22"/>
              </w:rPr>
              <w:t> </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5</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ИНСТРУМЕНТЫ И АППАРАТЫ ОПТИЧЕСКИЕ, ФОТОГРАФИЧЕСКИЕ, КИНЕМАТОГРАФИЧЕСКИЕ, ИЗМЕРИТЕЛЬНЫЕ, КОНТРОЛЬНЫЕ, ПРЕЦИЗИОННЫЕ, МЕДИЦИНСКИЕ ИЛИ ХИРУРГИЧЕСКИЕ; ИХ ЧАСТИ И ПРИНАДЛЕЖНОСТИ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9018</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Приборы и устройства, применяемые в медицине, хирургии, стоматологии или ветеринарии, включая сцинтиграфическую аппаратуру, аппаратура электромедицинская прочая и приборы для исследования зрения: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sz w:val="22"/>
                <w:szCs w:val="22"/>
              </w:rPr>
              <w:t>- </w:t>
            </w:r>
            <w:r>
              <w:rPr>
                <w:sz w:val="22"/>
                <w:szCs w:val="22"/>
              </w:rPr>
              <w:t>аппаратура электродиагностическая (включая аппаратуру для функциональных диагностических исследований или для контроля физиологических параметров):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9018 11 000 0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электрокардиографы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9018 19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прочая: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9018 19 100 0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аппаратура для одновременного контроля двух или более параметров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шприцы, иглы, катетеры, канюли и аналогичные инструменты: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шприцы, с иглами или без игл:</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9018 31 100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из пластмассы: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9018 31 100 1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для инсулина объемом не более 2 мл</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9018 31 100 9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9018 31 900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9018 31 900 1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для инсулина объемом не более 2 мл</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9018 31 900 9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иглы трубчатые металлические и иглы для наложения швов: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9018 32 100 0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иглы трубчатые металлические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9018 32 900 0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иглы для наложения швов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приборы и устройства стоматологические,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9018 49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9018 49 100 0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боры, диски, наконечники и щетки для использования в бормашинах</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9018 90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инструменты и оборудование,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9018 90 200 0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эндоскопы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Код ТН ВЭД ТС</w:t>
            </w:r>
          </w:p>
          <w:p w:rsidR="00000000" w:rsidRDefault="00D3356D">
            <w:pPr>
              <w:jc w:val="center"/>
            </w:pPr>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Наименование позиции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2010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2011 г.</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2012 г.</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2013 г.</w:t>
            </w:r>
          </w:p>
        </w:tc>
        <w:tc>
          <w:tcPr>
            <w:tcW w:w="52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2014 г.</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b/>
                <w:bCs/>
                <w:sz w:val="22"/>
                <w:szCs w:val="22"/>
              </w:rPr>
              <w:t>Ставка на 2015 г.</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9018 90 500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r>
              <w:rPr>
                <w:sz w:val="22"/>
                <w:szCs w:val="22"/>
              </w:rPr>
              <w:t> аппаратура для переливания крови: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9018 90 500 1</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системы для взятия и переливания крови, кровезаменителей и инфузионных растворов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9018 90 700 0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ультразвуковые литотриптеры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9022</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Аппаратура, основанная на использовании рентгеновского, альфа-, бета- или гамма-излучения, предназначенная или не предназначенная для медицинского, хирургического, стоматологического или ветеринарного использования, включая аппаратуру рентгенографическую и</w:t>
            </w:r>
            <w:r>
              <w:rPr>
                <w:b/>
                <w:bCs/>
                <w:sz w:val="22"/>
                <w:szCs w:val="22"/>
              </w:rPr>
              <w:t>ли радиотерапевтическую, рентгеновские трубки и прочие генераторы рентгеновского излучения, генераторы высокого напряжения, щиты и пульты управления, экраны, столы, кресла и аналогичные изделия для обследования или лечения: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аппаратура, основанная на использовании рентгеновского излучения, предназначенная или не предназначенная для медицинского, хирургического, стоматологического или ветеринарного использования, включая аппаратуру рентгенографическую или радиотерапевтическую</w:t>
            </w:r>
            <w:r>
              <w:rPr>
                <w:sz w:val="22"/>
                <w:szCs w:val="22"/>
              </w:rPr>
              <w:t>:</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9022 14 000 0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для медицинского, хирургического или ветеринарного использования, прочая</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9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both"/>
            </w:pPr>
            <w:r>
              <w:rPr>
                <w:b/>
                <w:bCs/>
                <w:sz w:val="22"/>
                <w:szCs w:val="22"/>
              </w:rPr>
              <w:t>МЕБЕЛЬ; ПОСТЕЛЬНЫЕ ПРИНАДЛЕЖНОСТИ, МАТРАЦЫ, ОСНОВЫ МАТРАЦНЫЕ, ДИВАННЫЕ ПОДУШКИ И АНАЛОГИЧНЫЕ НАБИВНЫЕ ПРИНАДЛЕЖНОСТИ МЕБЕЛИ; ЛАМПЫ И ОСВЕТИТЕЛЬНОЕ ОБОРУДОВАНИЕ, В ДРУГОМ МЕСТЕ НЕ ПОИМЕНОВАННЫЕ ИЛИ НЕ ВКЛЮЧЕННЫЕ; СВЕТОВЫЕ ВЫВЕСКИ, СВЕТОВЫЕ ТАБЛИЧКИ С ИМЕНЕМ</w:t>
            </w:r>
            <w:r>
              <w:rPr>
                <w:b/>
                <w:bCs/>
                <w:sz w:val="22"/>
                <w:szCs w:val="22"/>
              </w:rPr>
              <w:t xml:space="preserve"> ИЛИ НАЗВАНИЕМ, ИЛИ АДРЕСОМ И АНАЛОГИЧНЫЕ ИЗДЕЛИЯ; СБОРНЫЕ СТРОИТЕЛЬНЫЕ КОНСТРУКЦИИ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9406 00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b/>
                <w:bCs/>
                <w:sz w:val="22"/>
                <w:szCs w:val="22"/>
              </w:rPr>
              <w:t>Сборные строительные конструкции:</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из черных металлов: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9406 00 310 0</w:t>
            </w:r>
          </w:p>
          <w:p w:rsidR="00000000" w:rsidRDefault="00D3356D">
            <w:r>
              <w:rPr>
                <w:sz w:val="22"/>
                <w:szCs w:val="22"/>
              </w:rPr>
              <w:t> </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теплицы</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9406 00 800</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из прочих материалов:</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4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c>
          <w:tcPr>
            <w:tcW w:w="5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 </w:t>
            </w:r>
          </w:p>
        </w:tc>
      </w:tr>
      <w:tr w:rsidR="00000000">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9406 00 800 9</w:t>
            </w:r>
          </w:p>
        </w:tc>
        <w:tc>
          <w:tcPr>
            <w:tcW w:w="19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 - - прочие</w:t>
            </w:r>
          </w:p>
        </w:tc>
        <w:tc>
          <w:tcPr>
            <w:tcW w:w="3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pPr>
              <w:jc w:val="center"/>
            </w:pPr>
            <w:r>
              <w:rPr>
                <w:sz w:val="22"/>
                <w:szCs w:val="22"/>
              </w:rPr>
              <w:t>0</w:t>
            </w:r>
          </w:p>
        </w:tc>
        <w:tc>
          <w:tcPr>
            <w:tcW w:w="1425"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3356D">
            <w:r>
              <w:rPr>
                <w:sz w:val="22"/>
                <w:szCs w:val="22"/>
              </w:rPr>
              <w:t>ставка ЕТТ ТС</w:t>
            </w:r>
          </w:p>
        </w:tc>
      </w:tr>
      <w:tr w:rsidR="00000000">
        <w:tc>
          <w:tcPr>
            <w:tcW w:w="1035" w:type="dxa"/>
            <w:vAlign w:val="center"/>
            <w:hideMark/>
          </w:tcPr>
          <w:p w:rsidR="00000000" w:rsidRDefault="00D3356D">
            <w:r>
              <w:rPr>
                <w:color w:val="auto"/>
              </w:rPr>
              <w:t> </w:t>
            </w:r>
          </w:p>
        </w:tc>
        <w:tc>
          <w:tcPr>
            <w:tcW w:w="4320" w:type="dxa"/>
            <w:vAlign w:val="center"/>
            <w:hideMark/>
          </w:tcPr>
          <w:p w:rsidR="00000000" w:rsidRDefault="00D3356D">
            <w:r>
              <w:rPr>
                <w:color w:val="auto"/>
              </w:rPr>
              <w:t> </w:t>
            </w:r>
          </w:p>
        </w:tc>
        <w:tc>
          <w:tcPr>
            <w:tcW w:w="960" w:type="dxa"/>
            <w:vAlign w:val="center"/>
            <w:hideMark/>
          </w:tcPr>
          <w:p w:rsidR="00000000" w:rsidRDefault="00D3356D">
            <w:r>
              <w:rPr>
                <w:color w:val="auto"/>
              </w:rPr>
              <w:t> </w:t>
            </w:r>
          </w:p>
        </w:tc>
        <w:tc>
          <w:tcPr>
            <w:tcW w:w="960" w:type="dxa"/>
            <w:vAlign w:val="center"/>
            <w:hideMark/>
          </w:tcPr>
          <w:p w:rsidR="00000000" w:rsidRDefault="00D3356D">
            <w:r>
              <w:rPr>
                <w:color w:val="auto"/>
              </w:rPr>
              <w:t> </w:t>
            </w:r>
          </w:p>
        </w:tc>
        <w:tc>
          <w:tcPr>
            <w:tcW w:w="960" w:type="dxa"/>
            <w:vAlign w:val="center"/>
            <w:hideMark/>
          </w:tcPr>
          <w:p w:rsidR="00000000" w:rsidRDefault="00D3356D">
            <w:r>
              <w:rPr>
                <w:color w:val="auto"/>
              </w:rPr>
              <w:t> </w:t>
            </w:r>
          </w:p>
        </w:tc>
        <w:tc>
          <w:tcPr>
            <w:tcW w:w="960" w:type="dxa"/>
            <w:vAlign w:val="center"/>
            <w:hideMark/>
          </w:tcPr>
          <w:p w:rsidR="00000000" w:rsidRDefault="00D3356D">
            <w:r>
              <w:rPr>
                <w:color w:val="auto"/>
              </w:rPr>
              <w:t> </w:t>
            </w:r>
          </w:p>
        </w:tc>
        <w:tc>
          <w:tcPr>
            <w:tcW w:w="960" w:type="dxa"/>
            <w:vAlign w:val="center"/>
            <w:hideMark/>
          </w:tcPr>
          <w:p w:rsidR="00000000" w:rsidRDefault="00D3356D">
            <w:r>
              <w:rPr>
                <w:color w:val="auto"/>
              </w:rPr>
              <w:t> </w:t>
            </w:r>
          </w:p>
        </w:tc>
        <w:tc>
          <w:tcPr>
            <w:tcW w:w="144" w:type="dxa"/>
            <w:vAlign w:val="center"/>
            <w:hideMark/>
          </w:tcPr>
          <w:p w:rsidR="00000000" w:rsidRDefault="00D3356D">
            <w:r>
              <w:rPr>
                <w:color w:val="auto"/>
              </w:rPr>
              <w:t> </w:t>
            </w:r>
          </w:p>
        </w:tc>
        <w:tc>
          <w:tcPr>
            <w:tcW w:w="960" w:type="dxa"/>
            <w:vAlign w:val="center"/>
            <w:hideMark/>
          </w:tcPr>
          <w:p w:rsidR="00000000" w:rsidRDefault="00D3356D">
            <w:r>
              <w:rPr>
                <w:color w:val="auto"/>
              </w:rPr>
              <w:t> </w:t>
            </w:r>
          </w:p>
        </w:tc>
      </w:tr>
    </w:tbl>
    <w:p w:rsidR="00000000" w:rsidRDefault="00D3356D">
      <w:r>
        <w:t> </w:t>
      </w:r>
    </w:p>
    <w:p w:rsidR="00000000" w:rsidRDefault="00D3356D">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356D" w:rsidRDefault="00D3356D" w:rsidP="00D3356D">
      <w:r>
        <w:separator/>
      </w:r>
    </w:p>
  </w:endnote>
  <w:endnote w:type="continuationSeparator" w:id="0">
    <w:p w:rsidR="00D3356D" w:rsidRDefault="00D3356D" w:rsidP="00D335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56D" w:rsidRDefault="00D335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56D" w:rsidRDefault="00D335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56D" w:rsidRDefault="00D335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356D" w:rsidRDefault="00D3356D" w:rsidP="00D3356D">
      <w:r>
        <w:separator/>
      </w:r>
    </w:p>
  </w:footnote>
  <w:footnote w:type="continuationSeparator" w:id="0">
    <w:p w:rsidR="00D3356D" w:rsidRDefault="00D3356D" w:rsidP="00D335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56D" w:rsidRDefault="00D335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56D" w:rsidRDefault="00D3356D" w:rsidP="00D3356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356D" w:rsidRPr="00D3356D" w:rsidRDefault="00D3356D" w:rsidP="00D3356D">
    <w:pPr>
      <w:pStyle w:val="a5"/>
      <w:spacing w:after="100"/>
      <w:jc w:val="right"/>
      <w:rPr>
        <w:rFonts w:ascii="Arial" w:hAnsi="Arial" w:cs="Arial"/>
        <w:color w:val="808080"/>
        <w:sz w:val="20"/>
      </w:rPr>
    </w:pPr>
    <w:r>
      <w:rPr>
        <w:rFonts w:ascii="Arial" w:hAnsi="Arial" w:cs="Arial"/>
        <w:color w:val="808080"/>
        <w:sz w:val="20"/>
      </w:rPr>
      <w:t>Документ: (СТАРАЯ РЕДАКЦИЯ) РЕШЕНИЕ КОМИССИИ ТАМОЖЕННОГО СОЮЗА ОТ 22.06.2011 № 683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56D" w:rsidRDefault="00D335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356D"/>
    <w:rsid w:val="00D335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356D"/>
    <w:pPr>
      <w:tabs>
        <w:tab w:val="center" w:pos="4677"/>
        <w:tab w:val="right" w:pos="9355"/>
      </w:tabs>
    </w:pPr>
  </w:style>
  <w:style w:type="character" w:customStyle="1" w:styleId="a6">
    <w:name w:val="Верхний колонтитул Знак"/>
    <w:basedOn w:val="a0"/>
    <w:link w:val="a5"/>
    <w:uiPriority w:val="99"/>
    <w:rsid w:val="00D3356D"/>
    <w:rPr>
      <w:rFonts w:eastAsiaTheme="minorEastAsia"/>
      <w:color w:val="000000"/>
      <w:sz w:val="24"/>
      <w:szCs w:val="24"/>
    </w:rPr>
  </w:style>
  <w:style w:type="paragraph" w:styleId="a7">
    <w:name w:val="footer"/>
    <w:basedOn w:val="a"/>
    <w:link w:val="a8"/>
    <w:uiPriority w:val="99"/>
    <w:unhideWhenUsed/>
    <w:rsid w:val="00D3356D"/>
    <w:pPr>
      <w:tabs>
        <w:tab w:val="center" w:pos="4677"/>
        <w:tab w:val="right" w:pos="9355"/>
      </w:tabs>
    </w:pPr>
  </w:style>
  <w:style w:type="character" w:customStyle="1" w:styleId="a8">
    <w:name w:val="Нижний колонтитул Знак"/>
    <w:basedOn w:val="a0"/>
    <w:link w:val="a7"/>
    <w:uiPriority w:val="99"/>
    <w:rsid w:val="00D335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3356D"/>
    <w:pPr>
      <w:tabs>
        <w:tab w:val="center" w:pos="4677"/>
        <w:tab w:val="right" w:pos="9355"/>
      </w:tabs>
    </w:pPr>
  </w:style>
  <w:style w:type="character" w:customStyle="1" w:styleId="a6">
    <w:name w:val="Верхний колонтитул Знак"/>
    <w:basedOn w:val="a0"/>
    <w:link w:val="a5"/>
    <w:uiPriority w:val="99"/>
    <w:rsid w:val="00D3356D"/>
    <w:rPr>
      <w:rFonts w:eastAsiaTheme="minorEastAsia"/>
      <w:color w:val="000000"/>
      <w:sz w:val="24"/>
      <w:szCs w:val="24"/>
    </w:rPr>
  </w:style>
  <w:style w:type="paragraph" w:styleId="a7">
    <w:name w:val="footer"/>
    <w:basedOn w:val="a"/>
    <w:link w:val="a8"/>
    <w:uiPriority w:val="99"/>
    <w:unhideWhenUsed/>
    <w:rsid w:val="00D3356D"/>
    <w:pPr>
      <w:tabs>
        <w:tab w:val="center" w:pos="4677"/>
        <w:tab w:val="right" w:pos="9355"/>
      </w:tabs>
    </w:pPr>
  </w:style>
  <w:style w:type="character" w:customStyle="1" w:styleId="a8">
    <w:name w:val="Нижний колонтитул Знак"/>
    <w:basedOn w:val="a0"/>
    <w:link w:val="a7"/>
    <w:uiPriority w:val="99"/>
    <w:rsid w:val="00D335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2886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529154"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3262</Words>
  <Characters>18598</Characters>
  <Application>Microsoft Office Word</Application>
  <DocSecurity>0</DocSecurity>
  <Lines>154</Lines>
  <Paragraphs>43</Paragraphs>
  <ScaleCrop>false</ScaleCrop>
  <Company/>
  <LinksUpToDate>false</LinksUpToDate>
  <CharactersWithSpaces>21817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РЕШЕНИЕ КОМИССИИ ТАМОЖЕННОГО СОЮЗА ОТ 22.06.2011 № 683 (©Paragraph 2023)</dc:title>
  <dc:subject/>
  <dc:creator>Сергей М</dc:creator>
  <cp:keywords/>
  <dc:description/>
  <cp:lastModifiedBy>Сергей М</cp:lastModifiedBy>
  <cp:revision>2</cp:revision>
  <dcterms:created xsi:type="dcterms:W3CDTF">2023-11-28T20:44:00Z</dcterms:created>
  <dcterms:modified xsi:type="dcterms:W3CDTF">2023-11-28T20:44:00Z</dcterms:modified>
</cp:coreProperties>
</file>