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1133D">
      <w:pPr>
        <w:ind w:firstLine="397"/>
        <w:jc w:val="both"/>
      </w:pPr>
      <w:bookmarkStart w:id="0" w:name="_GoBack"/>
      <w:bookmarkEnd w:id="0"/>
      <w:r>
        <w:rPr>
          <w:rStyle w:val="s0"/>
          <w:b/>
          <w:bCs/>
        </w:rPr>
        <w:t>«Екінші деңгейдегі банктердің, «Қазақстанның Даму Банкі» акционерлік қоғамының жңне банк операцияларының жекелеген түрлерін жүзеге асыратын ұйымдардың қарыздар мен шартты міндеттемелер бойынша есептілікті беру қағидаларын бекіту туралы» Қазақстан Республик</w:t>
      </w:r>
      <w:r>
        <w:rPr>
          <w:rStyle w:val="s0"/>
          <w:b/>
          <w:bCs/>
        </w:rPr>
        <w:t>асы Ұлттық Банкі Басқармасының 2012 жылғы 28 сңуірдегі № 174 Қаулысы (2015.24.04. берілген өзгерістер мен толықтырулармен) (күші жойылды)</w:t>
      </w:r>
    </w:p>
    <w:p w:rsidR="00000000" w:rsidRDefault="00F1133D">
      <w:pPr>
        <w:ind w:firstLine="400"/>
        <w:jc w:val="both"/>
      </w:pPr>
      <w:r>
        <w:rPr>
          <w:rStyle w:val="s0"/>
          <w:b/>
          <w:bCs/>
        </w:rPr>
        <w:t> </w:t>
      </w:r>
    </w:p>
    <w:p w:rsidR="00000000" w:rsidRDefault="00F1133D">
      <w:pPr>
        <w:ind w:firstLine="400"/>
        <w:jc w:val="both"/>
      </w:pPr>
      <w:r>
        <w:rPr>
          <w:rStyle w:val="s0"/>
        </w:rPr>
        <w:t>Қазақстан</w:t>
      </w:r>
      <w:r>
        <w:rPr>
          <w:rStyle w:val="s0"/>
        </w:rPr>
        <w:t xml:space="preserve"> Республикасының Нормативтік құқықтық актілерді мемлекеттік тіркеу тізілімінде 2012 жылы 12 маусымда № 7739 тіркелді</w:t>
      </w:r>
    </w:p>
    <w:p w:rsidR="00000000" w:rsidRDefault="00F1133D">
      <w:pPr>
        <w:ind w:firstLine="400"/>
        <w:jc w:val="both"/>
      </w:pPr>
      <w:r>
        <w:rPr>
          <w:rStyle w:val="s0"/>
        </w:rPr>
        <w:t> </w:t>
      </w:r>
    </w:p>
    <w:p w:rsidR="00000000" w:rsidRDefault="00F1133D">
      <w:pPr>
        <w:ind w:firstLine="397"/>
        <w:jc w:val="both"/>
      </w:pPr>
      <w:r>
        <w:rPr>
          <w:rStyle w:val="s0"/>
        </w:rPr>
        <w:t>Жариялануы: «Егемен Қазақстан» 2012 жылғы 25 тамыз № 551-556 (27629)</w:t>
      </w:r>
    </w:p>
    <w:p w:rsidR="00000000" w:rsidRDefault="00F1133D">
      <w:pPr>
        <w:ind w:firstLine="397"/>
        <w:jc w:val="both"/>
      </w:pPr>
      <w:r>
        <w:rPr>
          <w:rStyle w:val="s0"/>
        </w:rPr>
        <w:t> </w:t>
      </w:r>
    </w:p>
    <w:p w:rsidR="00000000" w:rsidRDefault="00F1133D">
      <w:pPr>
        <w:ind w:firstLine="397"/>
        <w:jc w:val="both"/>
      </w:pPr>
      <w:r>
        <w:rPr>
          <w:rStyle w:val="s0"/>
        </w:rPr>
        <w:t>ҚР</w:t>
      </w:r>
      <w:r>
        <w:rPr>
          <w:rStyle w:val="s0"/>
        </w:rPr>
        <w:t xml:space="preserve"> Ұлттық Банкі Басқармасының 2018 жылғы 28 желтоқсандағы</w:t>
      </w:r>
      <w:r>
        <w:rPr>
          <w:rStyle w:val="s0"/>
        </w:rPr>
        <w:t xml:space="preserve"> № 313 </w:t>
      </w:r>
      <w:hyperlink r:id="rId7" w:anchor="sub_id=11" w:history="1">
        <w:r>
          <w:rPr>
            <w:rStyle w:val="a4"/>
          </w:rPr>
          <w:t>Қаулысымен</w:t>
        </w:r>
      </w:hyperlink>
      <w:r>
        <w:rPr>
          <w:rStyle w:val="s0"/>
        </w:rPr>
        <w:t xml:space="preserve"> күші жойылды</w:t>
      </w:r>
    </w:p>
    <w:p w:rsidR="00000000" w:rsidRDefault="00F1133D">
      <w:pPr>
        <w:ind w:firstLine="397"/>
        <w:jc w:val="both"/>
      </w:pPr>
      <w:r>
        <w:rPr>
          <w:rStyle w:val="s0"/>
        </w:rPr>
        <w:t> </w:t>
      </w:r>
    </w:p>
    <w:p w:rsidR="00000000" w:rsidRDefault="00F1133D">
      <w:pPr>
        <w:ind w:firstLine="397"/>
        <w:jc w:val="both"/>
      </w:pPr>
      <w:r>
        <w:rPr>
          <w:rStyle w:val="s0"/>
        </w:rPr>
        <w:t>Енгізілген өзгерістер:</w:t>
      </w:r>
    </w:p>
    <w:p w:rsidR="00000000" w:rsidRDefault="00F1133D">
      <w:pPr>
        <w:ind w:firstLine="397"/>
        <w:jc w:val="both"/>
      </w:pPr>
      <w:r>
        <w:rPr>
          <w:rStyle w:val="s0"/>
        </w:rPr>
        <w:t> </w:t>
      </w:r>
    </w:p>
    <w:p w:rsidR="00000000" w:rsidRDefault="00F1133D">
      <w:pPr>
        <w:ind w:firstLine="400"/>
        <w:jc w:val="both"/>
      </w:pPr>
      <w:r>
        <w:rPr>
          <w:rStyle w:val="s0"/>
        </w:rPr>
        <w:t>ҚР</w:t>
      </w:r>
      <w:r>
        <w:rPr>
          <w:rStyle w:val="s0"/>
        </w:rPr>
        <w:t xml:space="preserve"> Ұлттық Банкі Басқармасы 2012.29.10. № 318 </w:t>
      </w:r>
      <w:hyperlink r:id="rId8" w:history="1">
        <w:r>
          <w:rPr>
            <w:rStyle w:val="a4"/>
          </w:rPr>
          <w:t>Қаулысым</w:t>
        </w:r>
        <w:r>
          <w:rPr>
            <w:rStyle w:val="a4"/>
          </w:rPr>
          <w:t>ен</w:t>
        </w:r>
      </w:hyperlink>
      <w:r>
        <w:rPr>
          <w:rStyle w:val="s0"/>
        </w:rPr>
        <w:t xml:space="preserve"> (2012 ж. 10 желтоқсаннан бастап қолданысқа енгізілді)</w:t>
      </w:r>
    </w:p>
    <w:p w:rsidR="00000000" w:rsidRDefault="00F1133D">
      <w:pPr>
        <w:ind w:firstLine="400"/>
        <w:jc w:val="both"/>
      </w:pPr>
      <w:r>
        <w:rPr>
          <w:rStyle w:val="s0"/>
        </w:rPr>
        <w:t>ҚР</w:t>
      </w:r>
      <w:r>
        <w:rPr>
          <w:rStyle w:val="s0"/>
        </w:rPr>
        <w:t xml:space="preserve"> Ұлттық Банкі Басқармасының 2013.26.04. № 108 </w:t>
      </w:r>
      <w:hyperlink r:id="rId9" w:history="1">
        <w:r>
          <w:rPr>
            <w:rStyle w:val="a4"/>
          </w:rPr>
          <w:t>Қаулысымен</w:t>
        </w:r>
      </w:hyperlink>
      <w:r>
        <w:rPr>
          <w:rStyle w:val="s0"/>
        </w:rPr>
        <w:t xml:space="preserve"> (ресми </w:t>
      </w:r>
      <w:hyperlink r:id="rId10" w:history="1">
        <w:r>
          <w:rPr>
            <w:rStyle w:val="a4"/>
          </w:rPr>
          <w:t>жар</w:t>
        </w:r>
        <w:r>
          <w:rPr>
            <w:rStyle w:val="a4"/>
          </w:rPr>
          <w:t>ияланған</w:t>
        </w:r>
      </w:hyperlink>
      <w:r>
        <w:rPr>
          <w:rStyle w:val="s0"/>
        </w:rPr>
        <w:t xml:space="preserve"> күнінен кейін күнтізбелік он күн өткен соң қолданысқа енгізілді және 2012 жылғы 1 шілдеден бастап пайда болған қатынастарға қолданылады)</w:t>
      </w:r>
    </w:p>
    <w:p w:rsidR="00000000" w:rsidRDefault="00F1133D">
      <w:pPr>
        <w:ind w:firstLine="400"/>
        <w:jc w:val="both"/>
      </w:pPr>
      <w:r>
        <w:rPr>
          <w:rStyle w:val="s0"/>
        </w:rPr>
        <w:t>ҚР</w:t>
      </w:r>
      <w:r>
        <w:rPr>
          <w:rStyle w:val="s0"/>
        </w:rPr>
        <w:t xml:space="preserve"> Ұлттық Банкі Басқармасының 2015.24.04. № 66 </w:t>
      </w:r>
      <w:hyperlink r:id="rId11" w:history="1">
        <w:r>
          <w:rPr>
            <w:rStyle w:val="a4"/>
          </w:rPr>
          <w:t>Қаулысымен</w:t>
        </w:r>
      </w:hyperlink>
      <w:r>
        <w:rPr>
          <w:rStyle w:val="s0"/>
        </w:rPr>
        <w:t xml:space="preserve"> (ресми </w:t>
      </w:r>
      <w:hyperlink r:id="rId12"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F1133D">
      <w:pPr>
        <w:ind w:firstLine="400"/>
        <w:jc w:val="both"/>
      </w:pPr>
      <w:r>
        <w:rPr>
          <w:rStyle w:val="s0"/>
        </w:rPr>
        <w:t> </w:t>
      </w:r>
    </w:p>
    <w:p w:rsidR="00000000" w:rsidRDefault="00F1133D">
      <w:pPr>
        <w:ind w:firstLine="400"/>
        <w:jc w:val="both"/>
      </w:pPr>
      <w:r>
        <w:rPr>
          <w:rStyle w:val="s0"/>
        </w:rPr>
        <w:t>Бұрынғы редакциялар:</w:t>
      </w:r>
    </w:p>
    <w:p w:rsidR="00000000" w:rsidRDefault="00F1133D">
      <w:pPr>
        <w:ind w:firstLine="400"/>
        <w:jc w:val="both"/>
      </w:pPr>
      <w:r>
        <w:rPr>
          <w:rStyle w:val="s0"/>
        </w:rPr>
        <w:t> </w:t>
      </w:r>
    </w:p>
    <w:p w:rsidR="00000000" w:rsidRDefault="00F1133D">
      <w:pPr>
        <w:ind w:firstLine="400"/>
        <w:jc w:val="both"/>
      </w:pPr>
      <w:r>
        <w:rPr>
          <w:rStyle w:val="s0"/>
        </w:rPr>
        <w:t xml:space="preserve">2012 ж. 29 қазанға дейін қолданылған </w:t>
      </w:r>
      <w:hyperlink r:id="rId13" w:history="1">
        <w:r>
          <w:rPr>
            <w:rStyle w:val="a4"/>
          </w:rPr>
          <w:t>редакция</w:t>
        </w:r>
      </w:hyperlink>
    </w:p>
    <w:p w:rsidR="00000000" w:rsidRDefault="00F1133D">
      <w:pPr>
        <w:ind w:firstLine="400"/>
        <w:jc w:val="both"/>
      </w:pPr>
      <w:r>
        <w:rPr>
          <w:rStyle w:val="s0"/>
        </w:rPr>
        <w:t xml:space="preserve">2013 ж. 26 сәуірге дейін қолданылған </w:t>
      </w:r>
      <w:hyperlink r:id="rId14" w:history="1">
        <w:r>
          <w:rPr>
            <w:rStyle w:val="a4"/>
          </w:rPr>
          <w:t>редакция</w:t>
        </w:r>
      </w:hyperlink>
    </w:p>
    <w:p w:rsidR="00000000" w:rsidRDefault="00F1133D">
      <w:pPr>
        <w:ind w:firstLine="400"/>
        <w:jc w:val="both"/>
      </w:pPr>
      <w:r>
        <w:rPr>
          <w:rStyle w:val="s0"/>
        </w:rPr>
        <w:t xml:space="preserve">2015 ж. 24 сәуірге дейін қолданылған </w:t>
      </w:r>
      <w:hyperlink r:id="rId15" w:history="1">
        <w:r>
          <w:rPr>
            <w:rStyle w:val="a4"/>
          </w:rPr>
          <w:t>р</w:t>
        </w:r>
        <w:r>
          <w:rPr>
            <w:rStyle w:val="a4"/>
          </w:rPr>
          <w:t>едакция</w:t>
        </w:r>
      </w:hyperlink>
    </w:p>
    <w:p w:rsidR="00000000" w:rsidRDefault="00F1133D">
      <w:pPr>
        <w:ind w:firstLine="400"/>
        <w:jc w:val="both"/>
      </w:pPr>
      <w:r>
        <w:rPr>
          <w:rStyle w:val="s0"/>
        </w:rPr>
        <w:t> </w:t>
      </w:r>
    </w:p>
    <w:p w:rsidR="00000000" w:rsidRDefault="00F1133D">
      <w:pPr>
        <w:ind w:firstLine="400"/>
        <w:jc w:val="both"/>
      </w:pPr>
      <w:r>
        <w:rPr>
          <w:rStyle w:val="s0"/>
        </w:rPr>
        <w:t> </w:t>
      </w:r>
    </w:p>
    <w:p w:rsidR="00000000" w:rsidRDefault="00F1133D">
      <w:pPr>
        <w:ind w:firstLine="400"/>
        <w:jc w:val="both"/>
      </w:pPr>
      <w:r>
        <w:rPr>
          <w:rStyle w:val="s0"/>
        </w:rPr>
        <w:t> </w:t>
      </w:r>
    </w:p>
    <w:p w:rsidR="00000000" w:rsidRDefault="00F1133D">
      <w:pPr>
        <w:ind w:firstLine="400"/>
        <w:jc w:val="both"/>
      </w:pPr>
      <w:r>
        <w:rPr>
          <w:rStyle w:val="s0"/>
        </w:rPr>
        <w:t> </w:t>
      </w:r>
    </w:p>
    <w:sectPr w:rsidR="00000000">
      <w:headerReference w:type="even" r:id="rId16"/>
      <w:headerReference w:type="default" r:id="rId17"/>
      <w:footerReference w:type="even" r:id="rId18"/>
      <w:footerReference w:type="default" r:id="rId19"/>
      <w:headerReference w:type="first" r:id="rId20"/>
      <w:footerReference w:type="first" r:id="rId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1133D" w:rsidRDefault="00F1133D" w:rsidP="00F1133D">
      <w:r>
        <w:separator/>
      </w:r>
    </w:p>
  </w:endnote>
  <w:endnote w:type="continuationSeparator" w:id="0">
    <w:p w:rsidR="00F1133D" w:rsidRDefault="00F1133D" w:rsidP="00F113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133D" w:rsidRDefault="00F1133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133D" w:rsidRDefault="00F1133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133D" w:rsidRDefault="00F1133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1133D" w:rsidRDefault="00F1133D" w:rsidP="00F1133D">
      <w:r>
        <w:separator/>
      </w:r>
    </w:p>
  </w:footnote>
  <w:footnote w:type="continuationSeparator" w:id="0">
    <w:p w:rsidR="00F1133D" w:rsidRDefault="00F1133D" w:rsidP="00F1133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133D" w:rsidRDefault="00F1133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133D" w:rsidRDefault="00F1133D" w:rsidP="00F1133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1133D" w:rsidRPr="00F1133D" w:rsidRDefault="00F1133D" w:rsidP="00F1133D">
    <w:pPr>
      <w:pStyle w:val="a6"/>
      <w:spacing w:after="100"/>
      <w:jc w:val="right"/>
      <w:rPr>
        <w:rFonts w:ascii="Arial" w:hAnsi="Arial" w:cs="Arial"/>
        <w:color w:val="808080"/>
        <w:sz w:val="20"/>
      </w:rPr>
    </w:pPr>
    <w:r>
      <w:rPr>
        <w:rFonts w:ascii="Arial" w:hAnsi="Arial" w:cs="Arial"/>
        <w:color w:val="808080"/>
        <w:sz w:val="20"/>
      </w:rPr>
      <w:t>Документ: «Екінші деңгейдегі банктердің, «Қазақстанның Даму Банкі» акционерлік қоғамының және банк операцияларының жекелеген түрлерін жүзеге асыратын ұйымдардың қарыздар мен шартты міндеттемелер бойынша есептілікті беру қағидаларын бекіту туралы» Қазақстан Республикасы Ұлттық Банкі Басқармасының 2012 жылғы 28 сәуірдегі № 174 Қаулысы (2015.24.04. берілген өзгерістер мен толықтырулармен)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133D" w:rsidRDefault="00F1133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1133D"/>
    <w:rsid w:val="00F1133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1133D"/>
    <w:pPr>
      <w:tabs>
        <w:tab w:val="center" w:pos="4677"/>
        <w:tab w:val="right" w:pos="9355"/>
      </w:tabs>
    </w:pPr>
  </w:style>
  <w:style w:type="character" w:customStyle="1" w:styleId="a7">
    <w:name w:val="Верхний колонтитул Знак"/>
    <w:basedOn w:val="a0"/>
    <w:link w:val="a6"/>
    <w:uiPriority w:val="99"/>
    <w:rsid w:val="00F1133D"/>
    <w:rPr>
      <w:rFonts w:eastAsiaTheme="minorEastAsia"/>
      <w:color w:val="000000"/>
      <w:sz w:val="24"/>
      <w:szCs w:val="24"/>
    </w:rPr>
  </w:style>
  <w:style w:type="paragraph" w:styleId="a8">
    <w:name w:val="footer"/>
    <w:basedOn w:val="a"/>
    <w:link w:val="a9"/>
    <w:uiPriority w:val="99"/>
    <w:unhideWhenUsed/>
    <w:rsid w:val="00F1133D"/>
    <w:pPr>
      <w:tabs>
        <w:tab w:val="center" w:pos="4677"/>
        <w:tab w:val="right" w:pos="9355"/>
      </w:tabs>
    </w:pPr>
  </w:style>
  <w:style w:type="character" w:customStyle="1" w:styleId="a9">
    <w:name w:val="Нижний колонтитул Знак"/>
    <w:basedOn w:val="a0"/>
    <w:link w:val="a8"/>
    <w:uiPriority w:val="99"/>
    <w:rsid w:val="00F1133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1133D"/>
    <w:pPr>
      <w:tabs>
        <w:tab w:val="center" w:pos="4677"/>
        <w:tab w:val="right" w:pos="9355"/>
      </w:tabs>
    </w:pPr>
  </w:style>
  <w:style w:type="character" w:customStyle="1" w:styleId="a7">
    <w:name w:val="Верхний колонтитул Знак"/>
    <w:basedOn w:val="a0"/>
    <w:link w:val="a6"/>
    <w:uiPriority w:val="99"/>
    <w:rsid w:val="00F1133D"/>
    <w:rPr>
      <w:rFonts w:eastAsiaTheme="minorEastAsia"/>
      <w:color w:val="000000"/>
      <w:sz w:val="24"/>
      <w:szCs w:val="24"/>
    </w:rPr>
  </w:style>
  <w:style w:type="paragraph" w:styleId="a8">
    <w:name w:val="footer"/>
    <w:basedOn w:val="a"/>
    <w:link w:val="a9"/>
    <w:uiPriority w:val="99"/>
    <w:unhideWhenUsed/>
    <w:rsid w:val="00F1133D"/>
    <w:pPr>
      <w:tabs>
        <w:tab w:val="center" w:pos="4677"/>
        <w:tab w:val="right" w:pos="9355"/>
      </w:tabs>
    </w:pPr>
  </w:style>
  <w:style w:type="character" w:customStyle="1" w:styleId="a9">
    <w:name w:val="Нижний колонтитул Знак"/>
    <w:basedOn w:val="a0"/>
    <w:link w:val="a8"/>
    <w:uiPriority w:val="99"/>
    <w:rsid w:val="00F1133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321152" TargetMode="External"/><Relationship Id="rId13" Type="http://schemas.openxmlformats.org/officeDocument/2006/relationships/hyperlink" Target="http://online.zakon.kz/Document/?doc_id=31321689"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hyperlink" Target="http://online.zakon.kz/Document/?doc_id=35111200" TargetMode="External"/><Relationship Id="rId12" Type="http://schemas.openxmlformats.org/officeDocument/2006/relationships/hyperlink" Target="http://online.zakon.kz/Document/?doc_id=34811067" TargetMode="External"/><Relationship Id="rId17"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6220381" TargetMode="External"/><Relationship Id="rId5" Type="http://schemas.openxmlformats.org/officeDocument/2006/relationships/footnotes" Target="footnotes.xml"/><Relationship Id="rId15" Type="http://schemas.openxmlformats.org/officeDocument/2006/relationships/hyperlink" Target="http://online.zakon.kz/Document/?doc_id=34843138" TargetMode="External"/><Relationship Id="rId23" Type="http://schemas.openxmlformats.org/officeDocument/2006/relationships/theme" Target="theme/theme1.xml"/><Relationship Id="rId10" Type="http://schemas.openxmlformats.org/officeDocument/2006/relationships/hyperlink" Target="http://online.zakon.kz/Document/?doc_id=31422856"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1422854" TargetMode="External"/><Relationship Id="rId14" Type="http://schemas.openxmlformats.org/officeDocument/2006/relationships/hyperlink" Target="http://online.zakon.kz/Document/?doc_id=31423103"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171</Words>
  <Characters>1777</Characters>
  <Application>Microsoft Office Word</Application>
  <DocSecurity>0</DocSecurity>
  <Lines>14</Lines>
  <Paragraphs>3</Paragraphs>
  <ScaleCrop>false</ScaleCrop>
  <Company>SPecialiST RePack</Company>
  <LinksUpToDate>false</LinksUpToDate>
  <CharactersWithSpaces>1945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«Екінші деңгейдегі банктердің, «Қазақстанның Даму Банкі» акционерлік қоғамының және банк операцияларының жекелеген түрлерін жүзеге асыратын ұйымдардың қарыздар мен шартты міндеттемелер бойынша есептілікті беру қағидаларын бекіту туралы» Қазақстан Республикасы Ұлттық Банкі Басқармасының 2012 жылғы 28 сәуірдегі № 174 Қаулысы (2015.24.04.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2024-05-03T20:19:00Z</dcterms:created>
  <dcterms:modified xsi:type="dcterms:W3CDTF">2024-05-03T20:19:00Z</dcterms:modified>
</cp:coreProperties>
</file>