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7B71">
      <w:pPr>
        <w:jc w:val="center"/>
      </w:pPr>
      <w:bookmarkStart w:id="0" w:name="_GoBack"/>
      <w:bookmarkEnd w:id="0"/>
      <w:r>
        <w:rPr>
          <w:rStyle w:val="s1"/>
        </w:rPr>
        <w:t xml:space="preserve">Решение Совета Евразийской экономической комиссии от 16 июля 2012 года № 55 </w:t>
      </w:r>
      <w:r>
        <w:br/>
      </w:r>
      <w:r>
        <w:rPr>
          <w:rStyle w:val="s1"/>
        </w:rPr>
        <w:t>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</w:t>
      </w:r>
      <w:r>
        <w:br/>
      </w:r>
      <w:r>
        <w:rPr>
          <w:rStyle w:val="s1"/>
        </w:rPr>
        <w:t>(г. Москва)</w:t>
      </w:r>
    </w:p>
    <w:p w:rsidR="00000000" w:rsidRDefault="00767B71">
      <w:pPr>
        <w:jc w:val="center"/>
      </w:pPr>
      <w:r>
        <w:rPr>
          <w:rStyle w:val="s1"/>
        </w:rPr>
        <w:t> </w:t>
      </w:r>
    </w:p>
    <w:p w:rsidR="00000000" w:rsidRDefault="00767B71">
      <w:pPr>
        <w:jc w:val="both"/>
      </w:pPr>
      <w:r>
        <w:rPr>
          <w:rStyle w:val="s3"/>
        </w:rPr>
        <w:t>Данная редакция действовала до внесения изменений от 23 ноября 2012 года</w:t>
      </w:r>
    </w:p>
    <w:p w:rsidR="00000000" w:rsidRDefault="00767B71">
      <w:pPr>
        <w:jc w:val="center"/>
      </w:pPr>
      <w:r>
        <w:rPr>
          <w:rStyle w:val="s1"/>
        </w:rPr>
        <w:t> </w:t>
      </w:r>
    </w:p>
    <w:p w:rsidR="00000000" w:rsidRDefault="00767B71">
      <w:pPr>
        <w:ind w:firstLine="400"/>
        <w:jc w:val="both"/>
      </w:pPr>
      <w:r>
        <w:rPr>
          <w:rStyle w:val="s0"/>
        </w:rPr>
        <w:t xml:space="preserve">Совет Евразийской экономической комиссии </w:t>
      </w:r>
      <w:r>
        <w:rPr>
          <w:rStyle w:val="s0"/>
          <w:b/>
          <w:bCs/>
        </w:rPr>
        <w:t>решил</w:t>
      </w:r>
      <w:r>
        <w:rPr>
          <w:rStyle w:val="s0"/>
        </w:rPr>
        <w:t>:</w:t>
      </w:r>
    </w:p>
    <w:p w:rsidR="00000000" w:rsidRDefault="00767B71">
      <w:pPr>
        <w:ind w:firstLine="400"/>
        <w:jc w:val="both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товаров и ставок, в отношении которых Республикой Беларусь и Республикой Казахстан п</w:t>
      </w:r>
      <w:r>
        <w:rPr>
          <w:rStyle w:val="s0"/>
        </w:rPr>
        <w:t>рименяются ставки ввозных таможенных пошлин, отличные от ставок Единого таможенного тарифа Таможенного союза (</w:t>
      </w:r>
      <w:r>
        <w:t>прилагается</w:t>
      </w:r>
      <w:r>
        <w:rPr>
          <w:rStyle w:val="s0"/>
        </w:rPr>
        <w:t>).</w:t>
      </w:r>
    </w:p>
    <w:p w:rsidR="00000000" w:rsidRDefault="00767B71">
      <w:pPr>
        <w:ind w:firstLine="400"/>
        <w:jc w:val="both"/>
      </w:pPr>
      <w:r>
        <w:rPr>
          <w:rStyle w:val="s0"/>
        </w:rPr>
        <w:t>2. Установить, что ставки ввозных таможенных пошлин, утвержденные в соответствии с пунктом 1 настоящего Решения, действуют для Респу</w:t>
      </w:r>
      <w:r>
        <w:rPr>
          <w:rStyle w:val="s0"/>
        </w:rPr>
        <w:t>блики Казахстан в течение шести месяцев, по истечении которых действие этих ставок продлевается на срок до присоединения Республики Казахстан к Всемирной торговой организации.</w:t>
      </w:r>
    </w:p>
    <w:p w:rsidR="00000000" w:rsidRDefault="00767B71">
      <w:pPr>
        <w:ind w:firstLine="400"/>
        <w:jc w:val="both"/>
      </w:pPr>
      <w:r>
        <w:rPr>
          <w:rStyle w:val="s0"/>
        </w:rPr>
        <w:t>3. Установить, что ставки ввозных таможенных пошлин, утвержденные в соответствии</w:t>
      </w:r>
      <w:r>
        <w:rPr>
          <w:rStyle w:val="s0"/>
        </w:rPr>
        <w:t xml:space="preserve"> с пунктом 1 настоящего Решения, действуют для Республики Беларусь до присоединения Республики Беларусь к Всемирной торговой организации.</w:t>
      </w:r>
    </w:p>
    <w:p w:rsidR="00000000" w:rsidRDefault="00767B71">
      <w:pPr>
        <w:ind w:firstLine="400"/>
        <w:jc w:val="both"/>
      </w:pPr>
      <w:r>
        <w:rPr>
          <w:rStyle w:val="s0"/>
        </w:rPr>
        <w:t xml:space="preserve">4. Настоящее Решение вступает в силу по истечении тридцати дней после дня его официального </w:t>
      </w:r>
      <w:hyperlink r:id="rId7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67B71">
      <w:pPr>
        <w:ind w:firstLine="400"/>
        <w:jc w:val="both"/>
      </w:pPr>
      <w:r>
        <w:rPr>
          <w:rStyle w:val="s0"/>
        </w:rPr>
        <w:t> </w:t>
      </w:r>
    </w:p>
    <w:p w:rsidR="00000000" w:rsidRDefault="00767B71">
      <w:pPr>
        <w:ind w:firstLine="400"/>
        <w:jc w:val="both"/>
      </w:pPr>
      <w:r>
        <w:rPr>
          <w:rStyle w:val="s0"/>
        </w:rPr>
        <w:t> </w:t>
      </w:r>
    </w:p>
    <w:p w:rsidR="00000000" w:rsidRDefault="00767B71">
      <w:pPr>
        <w:ind w:firstLine="400"/>
        <w:jc w:val="center"/>
      </w:pPr>
      <w:r>
        <w:rPr>
          <w:rStyle w:val="s0"/>
          <w:b/>
          <w:bCs/>
        </w:rPr>
        <w:t>Члены Совета Евразийской экономической комиссии:</w:t>
      </w:r>
    </w:p>
    <w:p w:rsidR="00000000" w:rsidRDefault="00767B71">
      <w:pPr>
        <w:ind w:firstLine="400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3298"/>
        <w:gridCol w:w="3120"/>
      </w:tblGrid>
      <w:tr w:rsidR="00000000">
        <w:tc>
          <w:tcPr>
            <w:tcW w:w="1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jc w:val="center"/>
            </w:pPr>
            <w:r>
              <w:rPr>
                <w:b/>
                <w:bCs/>
              </w:rPr>
              <w:t>От Республики</w:t>
            </w:r>
          </w:p>
          <w:p w:rsidR="00000000" w:rsidRDefault="00767B71">
            <w:pPr>
              <w:jc w:val="center"/>
            </w:pPr>
            <w:r>
              <w:rPr>
                <w:b/>
                <w:bCs/>
              </w:rPr>
              <w:t>Беларусь</w:t>
            </w:r>
          </w:p>
        </w:tc>
        <w:tc>
          <w:tcPr>
            <w:tcW w:w="17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jc w:val="center"/>
            </w:pPr>
            <w:r>
              <w:rPr>
                <w:b/>
                <w:bCs/>
              </w:rPr>
              <w:t>От Республики</w:t>
            </w:r>
          </w:p>
          <w:p w:rsidR="00000000" w:rsidRDefault="00767B71">
            <w:pPr>
              <w:jc w:val="center"/>
            </w:pPr>
            <w:r>
              <w:rPr>
                <w:b/>
                <w:bCs/>
              </w:rPr>
              <w:t>Казахстан</w:t>
            </w:r>
          </w:p>
        </w:tc>
        <w:tc>
          <w:tcPr>
            <w:tcW w:w="1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jc w:val="center"/>
            </w:pPr>
            <w:r>
              <w:rPr>
                <w:b/>
                <w:bCs/>
              </w:rPr>
              <w:t>От Российской</w:t>
            </w:r>
          </w:p>
          <w:p w:rsidR="00000000" w:rsidRDefault="00767B71">
            <w:pPr>
              <w:jc w:val="center"/>
            </w:pPr>
            <w:r>
              <w:rPr>
                <w:b/>
                <w:bCs/>
              </w:rPr>
              <w:t>Федерации</w:t>
            </w:r>
          </w:p>
        </w:tc>
      </w:tr>
      <w:tr w:rsidR="00000000">
        <w:tc>
          <w:tcPr>
            <w:tcW w:w="1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r>
              <w:rPr>
                <w:b/>
                <w:bCs/>
              </w:rPr>
              <w:t> </w:t>
            </w:r>
          </w:p>
          <w:p w:rsidR="00000000" w:rsidRDefault="00767B71">
            <w:pPr>
              <w:jc w:val="center"/>
            </w:pPr>
            <w:r>
              <w:rPr>
                <w:b/>
                <w:bCs/>
              </w:rPr>
              <w:t>С. Румас</w:t>
            </w:r>
          </w:p>
        </w:tc>
        <w:tc>
          <w:tcPr>
            <w:tcW w:w="17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67B71">
            <w:pPr>
              <w:jc w:val="center"/>
            </w:pPr>
            <w:r>
              <w:rPr>
                <w:b/>
                <w:bCs/>
              </w:rPr>
              <w:t>К. Келимбетов</w:t>
            </w:r>
          </w:p>
        </w:tc>
        <w:tc>
          <w:tcPr>
            <w:tcW w:w="1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jc w:val="center"/>
            </w:pPr>
            <w:r>
              <w:rPr>
                <w:b/>
                <w:bCs/>
              </w:rPr>
              <w:t> </w:t>
            </w:r>
          </w:p>
          <w:p w:rsidR="00000000" w:rsidRDefault="00767B71">
            <w:pPr>
              <w:jc w:val="center"/>
            </w:pPr>
            <w:r>
              <w:rPr>
                <w:b/>
                <w:bCs/>
              </w:rPr>
              <w:t>И. Шувалов</w:t>
            </w:r>
          </w:p>
        </w:tc>
      </w:tr>
    </w:tbl>
    <w:p w:rsidR="00000000" w:rsidRDefault="00767B71">
      <w:r>
        <w:t> </w:t>
      </w:r>
    </w:p>
    <w:p w:rsidR="00000000" w:rsidRDefault="00767B71">
      <w:r>
        <w:t> </w:t>
      </w:r>
    </w:p>
    <w:p w:rsidR="00000000" w:rsidRDefault="00767B71">
      <w:pPr>
        <w:ind w:firstLine="400"/>
        <w:jc w:val="right"/>
      </w:pPr>
      <w:bookmarkStart w:id="1" w:name="SUB1"/>
      <w:bookmarkEnd w:id="1"/>
      <w:r>
        <w:rPr>
          <w:rStyle w:val="s0"/>
        </w:rPr>
        <w:t xml:space="preserve">Утвержден </w:t>
      </w:r>
    </w:p>
    <w:p w:rsidR="00000000" w:rsidRDefault="00767B71">
      <w:pPr>
        <w:ind w:firstLine="400"/>
        <w:jc w:val="right"/>
      </w:pPr>
      <w:hyperlink w:anchor="sub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</w:t>
      </w:r>
    </w:p>
    <w:p w:rsidR="00000000" w:rsidRDefault="00767B71">
      <w:pPr>
        <w:ind w:firstLine="400"/>
        <w:jc w:val="right"/>
      </w:pPr>
      <w:r>
        <w:rPr>
          <w:rStyle w:val="s0"/>
        </w:rPr>
        <w:t xml:space="preserve">экономической комиссии </w:t>
      </w:r>
    </w:p>
    <w:p w:rsidR="00000000" w:rsidRDefault="00767B71">
      <w:pPr>
        <w:ind w:firstLine="400"/>
        <w:jc w:val="right"/>
      </w:pPr>
      <w:r>
        <w:rPr>
          <w:rStyle w:val="s0"/>
        </w:rPr>
        <w:t>от 16 июля 2012 года № 55</w:t>
      </w:r>
    </w:p>
    <w:p w:rsidR="00000000" w:rsidRDefault="00767B71">
      <w:pPr>
        <w:jc w:val="center"/>
      </w:pPr>
      <w:r>
        <w:rPr>
          <w:rStyle w:val="s1"/>
        </w:rPr>
        <w:t> </w:t>
      </w:r>
    </w:p>
    <w:p w:rsidR="00000000" w:rsidRDefault="00767B71">
      <w:pPr>
        <w:jc w:val="center"/>
      </w:pPr>
      <w:r>
        <w:rPr>
          <w:rStyle w:val="s1"/>
        </w:rPr>
        <w:t> </w:t>
      </w:r>
    </w:p>
    <w:p w:rsidR="00000000" w:rsidRDefault="00767B71">
      <w:pPr>
        <w:jc w:val="center"/>
      </w:pPr>
      <w:r>
        <w:rPr>
          <w:rStyle w:val="s1"/>
        </w:rPr>
        <w:t xml:space="preserve">Перечень </w:t>
      </w:r>
    </w:p>
    <w:p w:rsidR="00000000" w:rsidRDefault="00767B71">
      <w:pPr>
        <w:jc w:val="center"/>
      </w:pPr>
      <w:r>
        <w:rPr>
          <w:rStyle w:val="s1"/>
        </w:rPr>
        <w:t>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</w:t>
      </w:r>
    </w:p>
    <w:p w:rsidR="00000000" w:rsidRDefault="00767B71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4969"/>
        <w:gridCol w:w="791"/>
        <w:gridCol w:w="2146"/>
      </w:tblGrid>
      <w:tr w:rsidR="00000000"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Код </w:t>
            </w:r>
            <w:hyperlink r:id="rId8" w:history="1">
              <w:r>
                <w:rPr>
                  <w:rStyle w:val="a4"/>
                  <w:sz w:val="24"/>
                  <w:szCs w:val="24"/>
                </w:rPr>
                <w:t>ТН ВЭД</w:t>
              </w:r>
            </w:hyperlink>
          </w:p>
        </w:tc>
        <w:tc>
          <w:tcPr>
            <w:tcW w:w="2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Наименование позиции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Доп. ед. изм.</w:t>
            </w:r>
          </w:p>
        </w:tc>
        <w:tc>
          <w:tcPr>
            <w:tcW w:w="1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8701 20 101 8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8701 20 901 4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8701 20 901 5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8701 20 901 7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8702 10 192 4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8702 10 192 8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8702 10 199 5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8702 10 199 6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экологического класса 4 или выше</w:t>
            </w:r>
            <w:r>
              <w:rPr>
                <w:color w:val="000000"/>
                <w:sz w:val="24"/>
                <w:szCs w:val="24"/>
                <w:vertAlign w:val="superscript"/>
              </w:rPr>
              <w:t>7)</w:t>
            </w:r>
            <w:r>
              <w:rPr>
                <w:color w:val="000000"/>
                <w:sz w:val="24"/>
                <w:szCs w:val="24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8702 10 199 7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8702 10 912 0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автобусы, предназначенные для перевозки более 120 человек, включая водителя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8702 10 992 3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8702 10 992 4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8702 10 992 8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8702 10 999 3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8702 10 999 4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3 евро за 1 см³ </w:t>
            </w:r>
            <w:r>
              <w:rPr>
                <w:color w:val="000000"/>
                <w:sz w:val="24"/>
                <w:szCs w:val="24"/>
              </w:rPr>
              <w:t>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8702 90 192 4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8702 90 192 8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8702 90 199 5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8702 90 392 3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8702 90 392 4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8702 90 392 8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8702 90 399 3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8702 90 399 4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8703 21 109 0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30, но не менее 1,2 евро за см³ </w:t>
            </w:r>
            <w:r>
              <w:rPr>
                <w:color w:val="000000"/>
                <w:sz w:val="24"/>
                <w:szCs w:val="24"/>
              </w:rPr>
              <w:t>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8703 21 909 3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8703 21 909 4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8703 21 909 8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1,2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8703 22 109 1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моторные транспортные средства, оборудованные для проживания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1,45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8703 22 109 9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1,45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8703 22 909 3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2,7 евро за 1 см</w:t>
            </w:r>
            <w:r>
              <w:rPr>
                <w:color w:val="000000"/>
                <w:sz w:val="24"/>
                <w:szCs w:val="24"/>
              </w:rPr>
              <w:t>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8703 22 909 4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2,7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8703 22 909 8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1,45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8703 23 110 0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моторные транспортные средства, оборудованные для проживания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1,9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8703 23 191 0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рабочим объемом цилиндров двигателя более 1500 см³, но не более 1800 см³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1,5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8703 23 192 1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рабочим объемом цилиндров двигателя более 1800 см³, но не более 2300 см³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2,15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8703 23 192 2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2,15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8703 23 901 3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2,9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8703 23 901 4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2,9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8703 23 901 8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1,5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8703 23 902 2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8703 23 902 3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8703 23 902 4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2,15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8703 23 902 7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8703 23 902 8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8703 23 902 9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2,15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8703 24 109 0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8703 24 909 3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5,8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8703 24 909 4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5,8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8703 24 909 8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2,8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8703 31 109 0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1,45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8703 31 909 3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2,7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8703 31 909 4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2,7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8703 31 909 8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1,45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8703 32 110 0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моторные транспортные средства, оборудованные для проживания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1,9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8703 32 199 0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2,15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8703 32 909 3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8703 32 909 4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8703 32 909 8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2,15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8703 33 110 0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моторные транспортные средства, оборудованные для проживания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2,5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8703 33 199 0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8703 33 909 3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5,8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8703 33 909 4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автомобили,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5,8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8703 33 909 8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35, но не менее 2,8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8704 10 101 9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8704 10 102 2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количеством осей не более двух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8704 10 102 9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8704 10 108 0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8704 21 310 0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новые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8704 21 390 3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8704 21 390 4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8704 21 390 8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8704 21 910 0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новые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8704 21 990 3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8704 21 990 4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8704 21 990 8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8704 22 100 0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специально предназначенные для перевозки высокорадиоактивных материалов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8704 22 910 1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транспортные средства (типа «форвардер»),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8704 22 910 9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8704 22 990 1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транспортные средства (типа «форвардер»),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</w:t>
            </w:r>
            <w:r>
              <w:rPr>
                <w:color w:val="000000"/>
                <w:sz w:val="24"/>
                <w:szCs w:val="24"/>
              </w:rPr>
              <w:t>озной дороги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8704 22 990 4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8704 22 990 5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8704 22 990 7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8704 23 910 1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 xml:space="preserve">- - - - - 4-гусеничные машины с двумя ведущими тележками, предназначенные для перевозки крупногабаритных грузов длиной свыше 24 м в заболоченных или снежных районах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8704 23 910 2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- 4-гусеничные машины с двумя ведущими тележками для использования с устанавливаемыми на них подъемными машинами или машинами для разработки грунта, предназначенные для работы в заболоченных или снежных районах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8704 23 910 8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8704 23 990 4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8704 23 990 5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8704 23 990 7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30, но не менее 2,2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8704 31 310 0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новые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8704 31 390 3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8704 31 390 4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8704 31 390 8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8704 31 910 0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новые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8704 31 990 3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8704 31 990 4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2 евро за 1 см³ </w:t>
            </w:r>
            <w:r>
              <w:rPr>
                <w:color w:val="000000"/>
                <w:sz w:val="24"/>
                <w:szCs w:val="24"/>
              </w:rPr>
              <w:t>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8704 31 990 8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8704 32 910 1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транспортные средства (типа «форвардер»),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8704 32 910 9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8704 32 990 1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транспортные средства (типа «форвардер»),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8704 32 990 4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8704 32 990 5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с момента выпуска которых прошло более 5 лет, но не более 7 лет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8704 32 990 7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- - - прочие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8705 30 000 5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бывшие в эксплуатации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8705 40 000 1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новые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8705 40 000 5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бывшие в эксплуатации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8705 90 100 5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бывшие в эксплуатации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8705 90 300 5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бывшие в эксплуатации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>4,4 евро за 1 см³ объема двигателя</w:t>
            </w:r>
          </w:p>
        </w:tc>
      </w:tr>
      <w:tr w:rsidR="00000000"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00"/>
              <w:ind w:left="0" w:right="0"/>
            </w:pPr>
            <w:r>
              <w:rPr>
                <w:color w:val="000000"/>
                <w:sz w:val="24"/>
                <w:szCs w:val="24"/>
              </w:rPr>
              <w:t>8705 90 900 5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2"/>
              <w:ind w:left="0" w:right="0" w:firstLine="0"/>
            </w:pPr>
            <w:r>
              <w:rPr>
                <w:color w:val="000000"/>
                <w:sz w:val="24"/>
                <w:szCs w:val="24"/>
              </w:rPr>
              <w:t>- - - бывшие в эксплуатации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67B71">
            <w:pPr>
              <w:pStyle w:val="a10"/>
              <w:ind w:left="0" w:right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4,4 евро за 1 см³ </w:t>
            </w:r>
            <w:r>
              <w:rPr>
                <w:color w:val="000000"/>
                <w:sz w:val="24"/>
                <w:szCs w:val="24"/>
              </w:rPr>
              <w:t>объема двигателя</w:t>
            </w:r>
          </w:p>
        </w:tc>
      </w:tr>
    </w:tbl>
    <w:p w:rsidR="00000000" w:rsidRDefault="00767B71"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71" w:rsidRDefault="00767B71" w:rsidP="00767B71">
      <w:r>
        <w:separator/>
      </w:r>
    </w:p>
  </w:endnote>
  <w:endnote w:type="continuationSeparator" w:id="0">
    <w:p w:rsidR="00767B71" w:rsidRDefault="00767B71" w:rsidP="0076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1" w:rsidRDefault="00767B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1" w:rsidRDefault="00767B7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1" w:rsidRDefault="00767B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71" w:rsidRDefault="00767B71" w:rsidP="00767B71">
      <w:r>
        <w:separator/>
      </w:r>
    </w:p>
  </w:footnote>
  <w:footnote w:type="continuationSeparator" w:id="0">
    <w:p w:rsidR="00767B71" w:rsidRDefault="00767B71" w:rsidP="0076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1" w:rsidRDefault="00767B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1" w:rsidRDefault="00767B71" w:rsidP="00767B7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67B71" w:rsidRPr="00767B71" w:rsidRDefault="00767B71" w:rsidP="00767B7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Совета Евразийской экономической комиссии от 16 июля 2012 года № 55 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товаров... (редакция от 23.11.2012 г.) (редакция от 23.11.2012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1" w:rsidRDefault="00767B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67B71"/>
    <w:rsid w:val="0076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color w:val="auto"/>
    </w:rPr>
  </w:style>
  <w:style w:type="paragraph" w:customStyle="1" w:styleId="s8">
    <w:name w:val="s8"/>
    <w:basedOn w:val="a"/>
    <w:rPr>
      <w:color w:val="333399"/>
    </w:rPr>
  </w:style>
  <w:style w:type="paragraph" w:customStyle="1" w:styleId="a00">
    <w:name w:val="a0"/>
    <w:basedOn w:val="a"/>
    <w:pPr>
      <w:overflowPunct w:val="0"/>
      <w:autoSpaceDE w:val="0"/>
      <w:autoSpaceDN w:val="0"/>
      <w:ind w:left="28" w:right="28"/>
    </w:pPr>
    <w:rPr>
      <w:color w:val="auto"/>
      <w:sz w:val="26"/>
      <w:szCs w:val="26"/>
    </w:rPr>
  </w:style>
  <w:style w:type="paragraph" w:customStyle="1" w:styleId="2">
    <w:name w:val="2"/>
    <w:basedOn w:val="a"/>
    <w:pPr>
      <w:overflowPunct w:val="0"/>
      <w:autoSpaceDE w:val="0"/>
      <w:autoSpaceDN w:val="0"/>
      <w:ind w:left="454" w:right="57" w:hanging="397"/>
    </w:pPr>
    <w:rPr>
      <w:color w:val="auto"/>
      <w:sz w:val="26"/>
      <w:szCs w:val="26"/>
    </w:rPr>
  </w:style>
  <w:style w:type="paragraph" w:customStyle="1" w:styleId="a10">
    <w:name w:val="a1"/>
    <w:basedOn w:val="a"/>
    <w:pPr>
      <w:overflowPunct w:val="0"/>
      <w:autoSpaceDE w:val="0"/>
      <w:autoSpaceDN w:val="0"/>
      <w:ind w:left="28" w:right="28"/>
      <w:jc w:val="center"/>
    </w:pPr>
    <w:rPr>
      <w:color w:val="auto"/>
      <w:sz w:val="26"/>
      <w:szCs w:val="26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67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7B7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7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7B7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color w:val="auto"/>
    </w:rPr>
  </w:style>
  <w:style w:type="paragraph" w:customStyle="1" w:styleId="s8">
    <w:name w:val="s8"/>
    <w:basedOn w:val="a"/>
    <w:rPr>
      <w:color w:val="333399"/>
    </w:rPr>
  </w:style>
  <w:style w:type="paragraph" w:customStyle="1" w:styleId="a00">
    <w:name w:val="a0"/>
    <w:basedOn w:val="a"/>
    <w:pPr>
      <w:overflowPunct w:val="0"/>
      <w:autoSpaceDE w:val="0"/>
      <w:autoSpaceDN w:val="0"/>
      <w:ind w:left="28" w:right="28"/>
    </w:pPr>
    <w:rPr>
      <w:color w:val="auto"/>
      <w:sz w:val="26"/>
      <w:szCs w:val="26"/>
    </w:rPr>
  </w:style>
  <w:style w:type="paragraph" w:customStyle="1" w:styleId="2">
    <w:name w:val="2"/>
    <w:basedOn w:val="a"/>
    <w:pPr>
      <w:overflowPunct w:val="0"/>
      <w:autoSpaceDE w:val="0"/>
      <w:autoSpaceDN w:val="0"/>
      <w:ind w:left="454" w:right="57" w:hanging="397"/>
    </w:pPr>
    <w:rPr>
      <w:color w:val="auto"/>
      <w:sz w:val="26"/>
      <w:szCs w:val="26"/>
    </w:rPr>
  </w:style>
  <w:style w:type="paragraph" w:customStyle="1" w:styleId="a10">
    <w:name w:val="a1"/>
    <w:basedOn w:val="a"/>
    <w:pPr>
      <w:overflowPunct w:val="0"/>
      <w:autoSpaceDE w:val="0"/>
      <w:autoSpaceDN w:val="0"/>
      <w:ind w:left="28" w:right="28"/>
      <w:jc w:val="center"/>
    </w:pPr>
    <w:rPr>
      <w:color w:val="auto"/>
      <w:sz w:val="26"/>
      <w:szCs w:val="26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67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7B7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7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7B7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8898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2729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2828</Words>
  <Characters>10708</Characters>
  <Application>Microsoft Office Word</Application>
  <DocSecurity>0</DocSecurity>
  <Lines>89</Lines>
  <Paragraphs>27</Paragraphs>
  <ScaleCrop>false</ScaleCrop>
  <Company>SPecialiST RePack</Company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Евразийской экономической комиссии от 16 июля 2012 года № 55 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товаров... (редакция от 23.11.2012 г.) (редакция от 23.11.2012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2024-01-26T03:03:00Z</dcterms:created>
  <dcterms:modified xsi:type="dcterms:W3CDTF">2024-01-26T03:03:00Z</dcterms:modified>
</cp:coreProperties>
</file>