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6A4F">
      <w:pPr>
        <w:pStyle w:val="pj"/>
      </w:pPr>
      <w:bookmarkStart w:id="0" w:name="_GoBack"/>
      <w:bookmarkEnd w:id="0"/>
      <w:r>
        <w:rPr>
          <w:rStyle w:val="s0"/>
          <w:b/>
          <w:bCs/>
        </w:rPr>
        <w:t>«Сақтандыру төлемдеріне кепілдік беру қорының қатысушылары – сақтандыру ұйымдарының, Қазақстан Республикасының бейрезидент-сақтандыру ұйымдары филиалдарының міндетті, қосымша жарналар мен шартты міндеттемелердің мөлшерлемесін есептеу ңдістемесін, міндетті,</w:t>
      </w:r>
      <w:r>
        <w:rPr>
          <w:rStyle w:val="s0"/>
          <w:b/>
          <w:bCs/>
        </w:rPr>
        <w:t xml:space="preserve"> бастапқы біржолғы, қосымша жңне төтенше жарналарды төлеу тңртібі мен мерзімдерін, шартты міндеттемелерді қалыптастыру мен есепке алу тңртібін бекіту туралы» Қазақстан Республикасы Ұлттық Банкі Басқармасының 2012 жылғы 24 желтоқсандағы № 387 Қаулысы (2022.</w:t>
      </w:r>
      <w:r>
        <w:rPr>
          <w:rStyle w:val="s0"/>
          <w:b/>
          <w:bCs/>
        </w:rPr>
        <w:t>12.12. берілген өзгерістер мен толықтырулармен)</w:t>
      </w:r>
    </w:p>
    <w:p w:rsidR="00000000" w:rsidRDefault="00306A4F">
      <w:pPr>
        <w:pStyle w:val="pj"/>
      </w:pPr>
      <w:r>
        <w:rPr>
          <w:rStyle w:val="s0"/>
          <w:b/>
          <w:bCs/>
        </w:rPr>
        <w:t> </w:t>
      </w:r>
    </w:p>
    <w:p w:rsidR="00000000" w:rsidRDefault="00306A4F">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2013 жылы 8 ақпанда № 8329 тіркелді</w:t>
      </w:r>
    </w:p>
    <w:p w:rsidR="00000000" w:rsidRDefault="00306A4F">
      <w:pPr>
        <w:pStyle w:val="pj"/>
      </w:pPr>
      <w:r>
        <w:rPr>
          <w:rStyle w:val="s0"/>
        </w:rPr>
        <w:t> </w:t>
      </w:r>
    </w:p>
    <w:p w:rsidR="00000000" w:rsidRDefault="00306A4F">
      <w:pPr>
        <w:pStyle w:val="pj"/>
      </w:pPr>
      <w:r>
        <w:rPr>
          <w:rStyle w:val="s0"/>
        </w:rPr>
        <w:t>Жариялануы: «Егемен Қазақстан» 2013 жылғы 5 маусым № 141 (28080)</w:t>
      </w:r>
    </w:p>
    <w:p w:rsidR="00000000" w:rsidRDefault="00306A4F">
      <w:pPr>
        <w:pStyle w:val="pj"/>
      </w:pPr>
      <w:r>
        <w:rPr>
          <w:rStyle w:val="s0"/>
        </w:rPr>
        <w:t> </w:t>
      </w:r>
    </w:p>
    <w:p w:rsidR="00000000" w:rsidRDefault="00306A4F">
      <w:pPr>
        <w:pStyle w:val="pj"/>
      </w:pPr>
      <w:r>
        <w:rPr>
          <w:rStyle w:val="s0"/>
        </w:rPr>
        <w:t>Енгізілген өзгерістер:</w:t>
      </w:r>
    </w:p>
    <w:p w:rsidR="00000000" w:rsidRDefault="00306A4F">
      <w:pPr>
        <w:pStyle w:val="pj"/>
      </w:pPr>
      <w:r>
        <w:rPr>
          <w:rStyle w:val="s0"/>
        </w:rPr>
        <w:t> </w:t>
      </w:r>
    </w:p>
    <w:p w:rsidR="00000000" w:rsidRDefault="00306A4F">
      <w:pPr>
        <w:pStyle w:val="pj"/>
      </w:pPr>
      <w:r>
        <w:rPr>
          <w:rStyle w:val="s0"/>
        </w:rPr>
        <w:t>ҚР</w:t>
      </w:r>
      <w:r>
        <w:rPr>
          <w:rStyle w:val="s0"/>
        </w:rPr>
        <w:t xml:space="preserve"> Ұлттық Банкі Басқармасының 2015.20.10. № 197 </w:t>
      </w:r>
      <w:hyperlink r:id="rId7" w:anchor="sub_id=200" w:history="1">
        <w:r>
          <w:rPr>
            <w:rStyle w:val="a4"/>
          </w:rPr>
          <w:t>Қаулысымен</w:t>
        </w:r>
      </w:hyperlink>
      <w:r>
        <w:rPr>
          <w:rStyle w:val="s0"/>
        </w:rPr>
        <w:t xml:space="preserve"> (ресми </w:t>
      </w:r>
      <w:hyperlink r:id="rId8" w:history="1">
        <w:r>
          <w:rPr>
            <w:rStyle w:val="a4"/>
          </w:rPr>
          <w:t>жарияланған</w:t>
        </w:r>
      </w:hyperlink>
      <w:r>
        <w:rPr>
          <w:rStyle w:val="s0"/>
        </w:rPr>
        <w:t xml:space="preserve"> күнінен</w:t>
      </w:r>
      <w:r>
        <w:rPr>
          <w:rStyle w:val="s0"/>
        </w:rPr>
        <w:t xml:space="preserve"> кейін күнтізбелік он күн өткен соң қолданысқа енгізілді)</w:t>
      </w:r>
    </w:p>
    <w:p w:rsidR="00000000" w:rsidRDefault="00306A4F">
      <w:pPr>
        <w:pStyle w:val="pj"/>
      </w:pPr>
      <w:r>
        <w:rPr>
          <w:rStyle w:val="s0"/>
        </w:rPr>
        <w:t>ҚР</w:t>
      </w:r>
      <w:r>
        <w:rPr>
          <w:rStyle w:val="s0"/>
        </w:rPr>
        <w:t xml:space="preserve"> Ұлттық Банкі Басқармасының 2018.27.08. № 204 </w:t>
      </w:r>
      <w:hyperlink r:id="rId9" w:anchor="sub_id=600" w:history="1">
        <w:r>
          <w:rPr>
            <w:rStyle w:val="a4"/>
          </w:rPr>
          <w:t>Қаулысымен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306A4F">
      <w:pPr>
        <w:pStyle w:val="pj"/>
      </w:pPr>
      <w:r>
        <w:rPr>
          <w:rStyle w:val="s0"/>
        </w:rPr>
        <w:t>ҚР</w:t>
      </w:r>
      <w:r>
        <w:rPr>
          <w:rStyle w:val="s0"/>
        </w:rPr>
        <w:t xml:space="preserve"> Қаржы нарығын реттеу және дамыту агенттігі Басқармасының 2021.12.02. № 28 </w:t>
      </w:r>
      <w:hyperlink r:id="rId11" w:anchor="sub_id=1000" w:history="1">
        <w:r>
          <w:rPr>
            <w:rStyle w:val="a4"/>
          </w:rPr>
          <w:t>Қаулыс</w:t>
        </w:r>
        <w:r>
          <w:rPr>
            <w:rStyle w:val="a4"/>
          </w:rPr>
          <w:t>ымен</w:t>
        </w:r>
      </w:hyperlink>
      <w:r>
        <w:rPr>
          <w:rStyle w:val="s0"/>
        </w:rPr>
        <w:t xml:space="preserve"> (ресми </w:t>
      </w:r>
      <w:hyperlink r:id="rId12" w:history="1">
        <w:r>
          <w:rPr>
            <w:rStyle w:val="a4"/>
          </w:rPr>
          <w:t>жарияланған</w:t>
        </w:r>
      </w:hyperlink>
      <w:r>
        <w:rPr>
          <w:rStyle w:val="s0"/>
        </w:rPr>
        <w:t xml:space="preserve"> күнінен бастап қолданысқа енгізілді)</w:t>
      </w:r>
    </w:p>
    <w:p w:rsidR="00000000" w:rsidRDefault="00306A4F">
      <w:pPr>
        <w:pStyle w:val="pj"/>
      </w:pPr>
      <w:r>
        <w:rPr>
          <w:rStyle w:val="s0"/>
        </w:rPr>
        <w:t>ҚР</w:t>
      </w:r>
      <w:r>
        <w:rPr>
          <w:rStyle w:val="s0"/>
        </w:rPr>
        <w:t xml:space="preserve"> Қаржы нарығын реттеу және дамыту агенттігі Басқармасының 2021.14.06. № 70 </w:t>
      </w:r>
      <w:hyperlink r:id="rId13" w:anchor="sub_id=2" w:history="1">
        <w:r>
          <w:rPr>
            <w:rStyle w:val="a4"/>
          </w:rPr>
          <w:t>Қаулысымен</w:t>
        </w:r>
      </w:hyperlink>
      <w:r>
        <w:rPr>
          <w:rStyle w:val="s0"/>
        </w:rPr>
        <w:t xml:space="preserve"> (ресми </w:t>
      </w:r>
      <w:hyperlink r:id="rId14" w:history="1">
        <w:r>
          <w:rPr>
            <w:rStyle w:val="a4"/>
          </w:rPr>
          <w:t>жарияланған</w:t>
        </w:r>
      </w:hyperlink>
      <w:r>
        <w:rPr>
          <w:rStyle w:val="s0"/>
        </w:rPr>
        <w:t xml:space="preserve"> күнінен кейін қолданысқа енгізілді)</w:t>
      </w:r>
    </w:p>
    <w:p w:rsidR="00000000" w:rsidRDefault="00306A4F">
      <w:pPr>
        <w:pStyle w:val="pj"/>
      </w:pPr>
      <w:r>
        <w:rPr>
          <w:rStyle w:val="s0"/>
        </w:rPr>
        <w:t>ҚР</w:t>
      </w:r>
      <w:r>
        <w:rPr>
          <w:rStyle w:val="s0"/>
        </w:rPr>
        <w:t xml:space="preserve"> Қаржы нарығын реттеу және дамыту агенттігі Басқармасының 2022.23.11. № 100 </w:t>
      </w:r>
      <w:hyperlink r:id="rId15" w:anchor="sub_id=300" w:history="1">
        <w:r>
          <w:rPr>
            <w:rStyle w:val="a4"/>
          </w:rPr>
          <w:t>Қаулысымен</w:t>
        </w:r>
      </w:hyperlink>
      <w:r>
        <w:rPr>
          <w:rStyle w:val="s0"/>
        </w:rPr>
        <w:t xml:space="preserve"> (2022 ж. 12 желтоқсаннан бастап </w:t>
      </w:r>
      <w:hyperlink r:id="rId16" w:anchor="sub_id=50" w:history="1">
        <w:r>
          <w:rPr>
            <w:rStyle w:val="a4"/>
          </w:rPr>
          <w:t>қолданысқа</w:t>
        </w:r>
        <w:r>
          <w:rPr>
            <w:rStyle w:val="a4"/>
          </w:rPr>
          <w:t xml:space="preserve"> енгізілді</w:t>
        </w:r>
      </w:hyperlink>
      <w:r>
        <w:rPr>
          <w:rStyle w:val="s0"/>
        </w:rPr>
        <w:t>)</w:t>
      </w:r>
    </w:p>
    <w:p w:rsidR="00000000" w:rsidRDefault="00306A4F">
      <w:pPr>
        <w:pStyle w:val="pj"/>
      </w:pPr>
      <w:r>
        <w:t> </w:t>
      </w:r>
    </w:p>
    <w:p w:rsidR="00000000" w:rsidRDefault="00306A4F">
      <w:pPr>
        <w:pStyle w:val="pj"/>
      </w:pPr>
      <w:r>
        <w:rPr>
          <w:rStyle w:val="s0"/>
        </w:rPr>
        <w:t>Бұрынғы редакциялар:</w:t>
      </w:r>
    </w:p>
    <w:p w:rsidR="00000000" w:rsidRDefault="00306A4F">
      <w:pPr>
        <w:pStyle w:val="pj"/>
      </w:pPr>
      <w:r>
        <w:rPr>
          <w:rStyle w:val="s0"/>
        </w:rPr>
        <w:t> </w:t>
      </w:r>
    </w:p>
    <w:p w:rsidR="00000000" w:rsidRDefault="00306A4F">
      <w:pPr>
        <w:pStyle w:val="pj"/>
      </w:pPr>
      <w:r>
        <w:rPr>
          <w:rStyle w:val="s0"/>
        </w:rPr>
        <w:t>2015 ж. 20 қазанға дейін қ</w:t>
      </w:r>
      <w:r>
        <w:rPr>
          <w:rStyle w:val="s0"/>
        </w:rPr>
        <w:t xml:space="preserve">олданылған </w:t>
      </w:r>
      <w:hyperlink r:id="rId17" w:history="1">
        <w:r>
          <w:rPr>
            <w:rStyle w:val="a4"/>
          </w:rPr>
          <w:t>редакция</w:t>
        </w:r>
      </w:hyperlink>
    </w:p>
    <w:p w:rsidR="00000000" w:rsidRDefault="00306A4F">
      <w:pPr>
        <w:pStyle w:val="pj"/>
      </w:pPr>
      <w:r>
        <w:rPr>
          <w:rStyle w:val="s0"/>
        </w:rPr>
        <w:t xml:space="preserve">2018 ж. 27 тамызға дейін қолданылған </w:t>
      </w:r>
      <w:hyperlink r:id="rId18" w:history="1">
        <w:r>
          <w:rPr>
            <w:rStyle w:val="a4"/>
          </w:rPr>
          <w:t>редакция</w:t>
        </w:r>
      </w:hyperlink>
    </w:p>
    <w:p w:rsidR="00000000" w:rsidRDefault="00306A4F">
      <w:pPr>
        <w:pStyle w:val="pj"/>
      </w:pPr>
      <w:r>
        <w:rPr>
          <w:rStyle w:val="s0"/>
        </w:rPr>
        <w:t xml:space="preserve">2021 ж. 12 ақпанға дейін қолданылған </w:t>
      </w:r>
      <w:hyperlink r:id="rId19" w:history="1">
        <w:r>
          <w:rPr>
            <w:rStyle w:val="a4"/>
          </w:rPr>
          <w:t>редакция</w:t>
        </w:r>
      </w:hyperlink>
    </w:p>
    <w:p w:rsidR="00000000" w:rsidRDefault="00306A4F">
      <w:pPr>
        <w:pStyle w:val="pj"/>
      </w:pPr>
      <w:r>
        <w:rPr>
          <w:rStyle w:val="s0"/>
        </w:rPr>
        <w:t xml:space="preserve">2021 ж. 14 маусымға дейін қолданылған </w:t>
      </w:r>
      <w:hyperlink r:id="rId20" w:history="1">
        <w:r>
          <w:rPr>
            <w:rStyle w:val="a4"/>
          </w:rPr>
          <w:t>редакция</w:t>
        </w:r>
      </w:hyperlink>
    </w:p>
    <w:p w:rsidR="00000000" w:rsidRDefault="00306A4F">
      <w:pPr>
        <w:pStyle w:val="pj"/>
      </w:pPr>
      <w:r>
        <w:rPr>
          <w:rStyle w:val="s0"/>
        </w:rPr>
        <w:t xml:space="preserve">2022 ж. 23 қарашаға дейін қолданылған </w:t>
      </w:r>
      <w:hyperlink r:id="rId21" w:history="1">
        <w:r>
          <w:rPr>
            <w:rStyle w:val="a4"/>
          </w:rPr>
          <w:t>редакция</w:t>
        </w:r>
      </w:hyperlink>
    </w:p>
    <w:p w:rsidR="00000000" w:rsidRDefault="00306A4F">
      <w:pPr>
        <w:pStyle w:val="pj"/>
      </w:pPr>
      <w:r>
        <w:t> </w:t>
      </w:r>
    </w:p>
    <w:p w:rsidR="00000000" w:rsidRDefault="00306A4F">
      <w:pPr>
        <w:pStyle w:val="pj"/>
      </w:pPr>
      <w:r>
        <w:rPr>
          <w:rStyle w:val="s0"/>
        </w:rPr>
        <w:t> </w:t>
      </w:r>
    </w:p>
    <w:p w:rsidR="00000000" w:rsidRDefault="00306A4F">
      <w:pPr>
        <w:pStyle w:val="pj"/>
      </w:pPr>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6A4F" w:rsidRDefault="00306A4F" w:rsidP="00306A4F">
      <w:r>
        <w:separator/>
      </w:r>
    </w:p>
  </w:endnote>
  <w:endnote w:type="continuationSeparator" w:id="0">
    <w:p w:rsidR="00306A4F" w:rsidRDefault="00306A4F" w:rsidP="00306A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A4F" w:rsidRDefault="00306A4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A4F" w:rsidRDefault="00306A4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A4F" w:rsidRDefault="00306A4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6A4F" w:rsidRDefault="00306A4F" w:rsidP="00306A4F">
      <w:r>
        <w:separator/>
      </w:r>
    </w:p>
  </w:footnote>
  <w:footnote w:type="continuationSeparator" w:id="0">
    <w:p w:rsidR="00306A4F" w:rsidRDefault="00306A4F" w:rsidP="00306A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A4F" w:rsidRDefault="00306A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A4F" w:rsidRDefault="00306A4F" w:rsidP="00306A4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6A4F" w:rsidRPr="00306A4F" w:rsidRDefault="00306A4F" w:rsidP="00306A4F">
    <w:pPr>
      <w:pStyle w:val="a6"/>
      <w:spacing w:after="100"/>
      <w:jc w:val="right"/>
      <w:rPr>
        <w:rFonts w:ascii="Arial" w:hAnsi="Arial" w:cs="Arial"/>
        <w:color w:val="808080"/>
        <w:sz w:val="20"/>
      </w:rPr>
    </w:pPr>
    <w:r>
      <w:rPr>
        <w:rFonts w:ascii="Arial" w:hAnsi="Arial" w:cs="Arial"/>
        <w:color w:val="808080"/>
        <w:sz w:val="20"/>
      </w:rPr>
      <w:t>Документ: «Сақтандыру төлемдеріне кепілдік беру қорының қатысушылары – сақтандыру ұйымдарының, Қазақстан Республикасының бейрезидент-сақтандыру ұйымдары филиалдарының міндетті, қосымша жарналар мен шартты міндеттемелердің мөлшерлемесін есептеу әдістемесін, міндетті, бастапқы біржолғы, қосымша және төтенше жарналарды төлеу тәртібі мен мерзімдерін, шартты міндеттемелерді қалыптастыру мен есепке алу тәртібін бекіту туралы» Қазақстан Республикасы Ұлттық Банкі Басқармасының 2012 жылғы 24 желтоқсандағы № 387 Қаулысы (2022.12.12.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A4F" w:rsidRDefault="00306A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6A4F"/>
    <w:rsid w:val="00306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06A4F"/>
    <w:pPr>
      <w:tabs>
        <w:tab w:val="center" w:pos="4677"/>
        <w:tab w:val="right" w:pos="9355"/>
      </w:tabs>
    </w:pPr>
  </w:style>
  <w:style w:type="character" w:customStyle="1" w:styleId="a7">
    <w:name w:val="Верхний колонтитул Знак"/>
    <w:basedOn w:val="a0"/>
    <w:link w:val="a6"/>
    <w:uiPriority w:val="99"/>
    <w:rsid w:val="00306A4F"/>
    <w:rPr>
      <w:rFonts w:eastAsiaTheme="minorEastAsia"/>
      <w:sz w:val="24"/>
      <w:szCs w:val="24"/>
    </w:rPr>
  </w:style>
  <w:style w:type="paragraph" w:styleId="a8">
    <w:name w:val="footer"/>
    <w:basedOn w:val="a"/>
    <w:link w:val="a9"/>
    <w:uiPriority w:val="99"/>
    <w:unhideWhenUsed/>
    <w:rsid w:val="00306A4F"/>
    <w:pPr>
      <w:tabs>
        <w:tab w:val="center" w:pos="4677"/>
        <w:tab w:val="right" w:pos="9355"/>
      </w:tabs>
    </w:pPr>
  </w:style>
  <w:style w:type="character" w:customStyle="1" w:styleId="a9">
    <w:name w:val="Нижний колонтитул Знак"/>
    <w:basedOn w:val="a0"/>
    <w:link w:val="a8"/>
    <w:uiPriority w:val="99"/>
    <w:rsid w:val="00306A4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06A4F"/>
    <w:pPr>
      <w:tabs>
        <w:tab w:val="center" w:pos="4677"/>
        <w:tab w:val="right" w:pos="9355"/>
      </w:tabs>
    </w:pPr>
  </w:style>
  <w:style w:type="character" w:customStyle="1" w:styleId="a7">
    <w:name w:val="Верхний колонтитул Знак"/>
    <w:basedOn w:val="a0"/>
    <w:link w:val="a6"/>
    <w:uiPriority w:val="99"/>
    <w:rsid w:val="00306A4F"/>
    <w:rPr>
      <w:rFonts w:eastAsiaTheme="minorEastAsia"/>
      <w:sz w:val="24"/>
      <w:szCs w:val="24"/>
    </w:rPr>
  </w:style>
  <w:style w:type="paragraph" w:styleId="a8">
    <w:name w:val="footer"/>
    <w:basedOn w:val="a"/>
    <w:link w:val="a9"/>
    <w:uiPriority w:val="99"/>
    <w:unhideWhenUsed/>
    <w:rsid w:val="00306A4F"/>
    <w:pPr>
      <w:tabs>
        <w:tab w:val="center" w:pos="4677"/>
        <w:tab w:val="right" w:pos="9355"/>
      </w:tabs>
    </w:pPr>
  </w:style>
  <w:style w:type="character" w:customStyle="1" w:styleId="a9">
    <w:name w:val="Нижний колонтитул Знак"/>
    <w:basedOn w:val="a0"/>
    <w:link w:val="a8"/>
    <w:uiPriority w:val="99"/>
    <w:rsid w:val="00306A4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332662" TargetMode="External"/><Relationship Id="rId13" Type="http://schemas.openxmlformats.org/officeDocument/2006/relationships/hyperlink" Target="http://online.zakon.kz/Document/?doc_id=32348916" TargetMode="External"/><Relationship Id="rId18" Type="http://schemas.openxmlformats.org/officeDocument/2006/relationships/hyperlink" Target="http://online.zakon.kz/Document/?doc_id=35348114"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8242597" TargetMode="External"/><Relationship Id="rId7" Type="http://schemas.openxmlformats.org/officeDocument/2006/relationships/hyperlink" Target="http://online.zakon.kz/Document/?doc_id=34563816" TargetMode="External"/><Relationship Id="rId12" Type="http://schemas.openxmlformats.org/officeDocument/2006/relationships/hyperlink" Target="http://online.zakon.kz/Document/?doc_id=34112171" TargetMode="External"/><Relationship Id="rId17" Type="http://schemas.openxmlformats.org/officeDocument/2006/relationships/hyperlink" Target="http://online.zakon.kz/Document/?doc_id=38254159"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3856707" TargetMode="External"/><Relationship Id="rId20" Type="http://schemas.openxmlformats.org/officeDocument/2006/relationships/hyperlink" Target="http://online.zakon.kz/Document/?doc_id=32940618"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784082"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3856707"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38980579" TargetMode="External"/><Relationship Id="rId19" Type="http://schemas.openxmlformats.org/officeDocument/2006/relationships/hyperlink" Target="http://online.zakon.kz/Document/?doc_id=36712836" TargetMode="External"/><Relationship Id="rId4" Type="http://schemas.openxmlformats.org/officeDocument/2006/relationships/webSettings" Target="webSettings.xml"/><Relationship Id="rId9" Type="http://schemas.openxmlformats.org/officeDocument/2006/relationships/hyperlink" Target="http://online.zakon.kz/Document/?doc_id=33678742" TargetMode="External"/><Relationship Id="rId14" Type="http://schemas.openxmlformats.org/officeDocument/2006/relationships/hyperlink" Target="http://online.zakon.kz/Document/?doc_id=39404431"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2612</Characters>
  <Application>Microsoft Office Word</Application>
  <DocSecurity>0</DocSecurity>
  <Lines>21</Lines>
  <Paragraphs>5</Paragraphs>
  <ScaleCrop>false</ScaleCrop>
  <Company>SPecialiST RePack</Company>
  <LinksUpToDate>false</LinksUpToDate>
  <CharactersWithSpaces>2823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«Сақтандыру төлемдеріне кепілдік беру қорының қатысушылары – сақтандыру ұйымдарының, Қазақстан Республикасының бейрезидент-сақтандыру ұйымдары филиалдарының міндетті, қосымша жарналар мен шартты міндеттемелердің мөлшерлемесін есептеу әдістемесін, міндетті, бастапқы біржолғы, қосымша және төтенше жарналарды төлеу тәртібі мен мерзімдерін, шартты міндеттемелерді қалыптастыру мен есепке алу тәртібін бекіту туралы» Қазақстан Республикасы Ұлттық Банкі Басқармасының 2012 жылғы 24 желтоқсандағы № 387 Қаулысы (2022.12.12.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2024-05-20T06:40:00Z</dcterms:created>
  <dcterms:modified xsi:type="dcterms:W3CDTF">2024-05-20T06:40:00Z</dcterms:modified>
</cp:coreProperties>
</file>