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77AE">
      <w:pPr>
        <w:jc w:val="center"/>
      </w:pPr>
      <w:bookmarkStart w:id="0" w:name="_GoBack"/>
      <w:bookmarkEnd w:id="0"/>
      <w:r>
        <w:rPr>
          <w:rStyle w:val="s1"/>
        </w:rPr>
        <w:t xml:space="preserve">Решение Совета Евразийской экономической комиссии от 16 июля 2012 года № 55 </w:t>
      </w:r>
      <w:r>
        <w:br/>
      </w:r>
      <w:r>
        <w:rPr>
          <w:rStyle w:val="s1"/>
        </w:rPr>
        <w:t>О применении Республикой Беларусь и Республикой Казахстан ставок ввозных таможенных пошлин, отличных от ставок Единого таможенного тарифа Таможенного союза, в отношении отдельных категорий товаров</w:t>
      </w:r>
      <w:r>
        <w:br/>
      </w:r>
      <w:r>
        <w:rPr>
          <w:rStyle w:val="s1"/>
        </w:rPr>
        <w:t>(г. Москва)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02.07.2013 г.)</w:t>
      </w:r>
    </w:p>
    <w:p w:rsidR="00000000" w:rsidRDefault="005E77AE">
      <w:pPr>
        <w:jc w:val="center"/>
      </w:pPr>
      <w:r>
        <w:rPr>
          <w:rStyle w:val="s1"/>
        </w:rPr>
        <w:t> </w:t>
      </w:r>
    </w:p>
    <w:p w:rsidR="00000000" w:rsidRDefault="005E77AE">
      <w:pPr>
        <w:jc w:val="both"/>
      </w:pPr>
      <w:r>
        <w:rPr>
          <w:rStyle w:val="s3"/>
        </w:rPr>
        <w:t>Данная редакция действовала до внесения изменений от 3 сентября 2013 года</w:t>
      </w:r>
    </w:p>
    <w:p w:rsidR="00000000" w:rsidRDefault="005E77AE">
      <w:pPr>
        <w:jc w:val="center"/>
      </w:pPr>
      <w:r>
        <w:rPr>
          <w:rStyle w:val="s1"/>
        </w:rPr>
        <w:t> </w:t>
      </w:r>
    </w:p>
    <w:p w:rsidR="00000000" w:rsidRDefault="005E77AE">
      <w:pPr>
        <w:ind w:firstLine="400"/>
        <w:jc w:val="both"/>
      </w:pPr>
      <w:r>
        <w:rPr>
          <w:rStyle w:val="s0"/>
        </w:rPr>
        <w:t xml:space="preserve">Совет Евразийской экономической комиссии </w:t>
      </w:r>
      <w:r>
        <w:rPr>
          <w:rStyle w:val="s0"/>
          <w:b/>
          <w:bCs/>
        </w:rPr>
        <w:t>решил</w:t>
      </w:r>
      <w:r>
        <w:rPr>
          <w:rStyle w:val="s0"/>
        </w:rPr>
        <w:t>:</w:t>
      </w:r>
    </w:p>
    <w:p w:rsidR="00000000" w:rsidRDefault="005E77AE">
      <w:pPr>
        <w:ind w:firstLine="400"/>
        <w:jc w:val="both"/>
      </w:pPr>
      <w:r>
        <w:rPr>
          <w:rStyle w:val="s0"/>
        </w:rPr>
        <w:t xml:space="preserve">1. Утвердить </w:t>
      </w:r>
      <w:hyperlink w:anchor="sub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товаров и ставок, в отношении которых Республикой Беларусь и Республикой Казахстан применяются ставки ввозных таможенных пошлин, отличные от ставок Единого таможенного тарифа Таможенного союза (</w:t>
      </w:r>
      <w:r>
        <w:t>прилагается</w:t>
      </w:r>
      <w:r>
        <w:rPr>
          <w:rStyle w:val="s0"/>
        </w:rPr>
        <w:t>).</w:t>
      </w:r>
    </w:p>
    <w:p w:rsidR="00000000" w:rsidRDefault="005E77AE">
      <w:pPr>
        <w:ind w:firstLine="400"/>
        <w:jc w:val="both"/>
      </w:pPr>
      <w:r>
        <w:rPr>
          <w:rStyle w:val="s0"/>
        </w:rPr>
        <w:t>2. Установить, что ставки ввозных таможенных пош</w:t>
      </w:r>
      <w:r>
        <w:rPr>
          <w:rStyle w:val="s0"/>
        </w:rPr>
        <w:t>лин, утвержденные в соответствии с пунктом 1 настоящего Решения, действуют для Республики Казахстан в течение шести месяцев, по истечении которых действие этих ставок продлевается на срок до присоединения Республики Казахстан к Всемирной торговой организац</w:t>
      </w:r>
      <w:r>
        <w:rPr>
          <w:rStyle w:val="s0"/>
        </w:rPr>
        <w:t>ии.</w:t>
      </w:r>
    </w:p>
    <w:p w:rsidR="00000000" w:rsidRDefault="005E77AE">
      <w:pPr>
        <w:ind w:firstLine="400"/>
        <w:jc w:val="both"/>
      </w:pPr>
      <w:r>
        <w:rPr>
          <w:rStyle w:val="s0"/>
        </w:rPr>
        <w:t>3. Установить, что ставки ввозных таможенных пошлин, утвержденные в соответствии с пунктом 1 настоящего Решения, действуют для Республики Беларусь до присоединения Республики Беларусь к Всемирной торговой организации.</w:t>
      </w:r>
    </w:p>
    <w:p w:rsidR="00000000" w:rsidRDefault="005E77AE">
      <w:pPr>
        <w:ind w:firstLine="400"/>
        <w:jc w:val="both"/>
      </w:pPr>
      <w:r>
        <w:rPr>
          <w:rStyle w:val="s0"/>
        </w:rPr>
        <w:t>4. Настоящее Решение вступает в си</w:t>
      </w:r>
      <w:r>
        <w:rPr>
          <w:rStyle w:val="s0"/>
        </w:rPr>
        <w:t xml:space="preserve">лу по истечении тридцати дней после дня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5E77AE">
      <w:pPr>
        <w:ind w:firstLine="400"/>
        <w:jc w:val="both"/>
      </w:pPr>
      <w:r>
        <w:rPr>
          <w:rStyle w:val="s0"/>
        </w:rPr>
        <w:t> </w:t>
      </w:r>
    </w:p>
    <w:p w:rsidR="00000000" w:rsidRDefault="005E77AE">
      <w:pPr>
        <w:ind w:firstLine="400"/>
        <w:jc w:val="both"/>
      </w:pPr>
      <w:r>
        <w:rPr>
          <w:rStyle w:val="s0"/>
        </w:rPr>
        <w:t> </w:t>
      </w:r>
    </w:p>
    <w:p w:rsidR="00000000" w:rsidRDefault="005E77AE">
      <w:pPr>
        <w:ind w:firstLine="400"/>
        <w:jc w:val="center"/>
      </w:pPr>
      <w:r>
        <w:rPr>
          <w:rStyle w:val="s0"/>
          <w:b/>
          <w:bCs/>
        </w:rPr>
        <w:t>Члены Совета Евразийской экономической комиссии:</w:t>
      </w:r>
    </w:p>
    <w:p w:rsidR="00000000" w:rsidRDefault="005E77AE">
      <w:pPr>
        <w:ind w:firstLine="400"/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53"/>
        <w:gridCol w:w="3298"/>
        <w:gridCol w:w="3120"/>
      </w:tblGrid>
      <w:tr w:rsidR="00000000">
        <w:tc>
          <w:tcPr>
            <w:tcW w:w="16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jc w:val="center"/>
            </w:pPr>
            <w:r>
              <w:rPr>
                <w:b/>
                <w:bCs/>
              </w:rPr>
              <w:t>От Республики</w:t>
            </w:r>
          </w:p>
          <w:p w:rsidR="00000000" w:rsidRDefault="005E77AE">
            <w:pPr>
              <w:jc w:val="center"/>
            </w:pPr>
            <w:r>
              <w:rPr>
                <w:b/>
                <w:bCs/>
              </w:rPr>
              <w:t>Беларусь</w:t>
            </w:r>
          </w:p>
        </w:tc>
        <w:tc>
          <w:tcPr>
            <w:tcW w:w="1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jc w:val="center"/>
            </w:pPr>
            <w:r>
              <w:rPr>
                <w:b/>
                <w:bCs/>
              </w:rPr>
              <w:t>От Республики</w:t>
            </w:r>
          </w:p>
          <w:p w:rsidR="00000000" w:rsidRDefault="005E77AE">
            <w:pPr>
              <w:jc w:val="center"/>
            </w:pPr>
            <w:r>
              <w:rPr>
                <w:b/>
                <w:bCs/>
              </w:rPr>
              <w:t>Казахстан</w:t>
            </w:r>
          </w:p>
        </w:tc>
        <w:tc>
          <w:tcPr>
            <w:tcW w:w="163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jc w:val="center"/>
            </w:pPr>
            <w:r>
              <w:rPr>
                <w:b/>
                <w:bCs/>
              </w:rPr>
              <w:t>От Российской</w:t>
            </w:r>
          </w:p>
          <w:p w:rsidR="00000000" w:rsidRDefault="005E77AE">
            <w:pPr>
              <w:jc w:val="center"/>
            </w:pPr>
            <w:r>
              <w:rPr>
                <w:b/>
                <w:bCs/>
              </w:rPr>
              <w:t>Федерации</w:t>
            </w:r>
          </w:p>
        </w:tc>
      </w:tr>
      <w:tr w:rsidR="00000000">
        <w:tc>
          <w:tcPr>
            <w:tcW w:w="16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r>
              <w:rPr>
                <w:b/>
                <w:bCs/>
              </w:rPr>
              <w:t> </w:t>
            </w:r>
          </w:p>
          <w:p w:rsidR="00000000" w:rsidRDefault="005E77AE">
            <w:pPr>
              <w:jc w:val="center"/>
            </w:pPr>
            <w:r>
              <w:rPr>
                <w:b/>
                <w:bCs/>
              </w:rPr>
              <w:t>С. Румас</w:t>
            </w:r>
          </w:p>
        </w:tc>
        <w:tc>
          <w:tcPr>
            <w:tcW w:w="1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jc w:val="center"/>
            </w:pPr>
            <w:r>
              <w:rPr>
                <w:b/>
                <w:bCs/>
              </w:rPr>
              <w:t> </w:t>
            </w:r>
          </w:p>
          <w:p w:rsidR="00000000" w:rsidRDefault="005E77AE">
            <w:pPr>
              <w:jc w:val="center"/>
            </w:pPr>
            <w:r>
              <w:rPr>
                <w:b/>
                <w:bCs/>
              </w:rPr>
              <w:t>К. Келимбетов</w:t>
            </w:r>
          </w:p>
        </w:tc>
        <w:tc>
          <w:tcPr>
            <w:tcW w:w="163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jc w:val="center"/>
            </w:pPr>
            <w:r>
              <w:rPr>
                <w:b/>
                <w:bCs/>
              </w:rPr>
              <w:t> </w:t>
            </w:r>
          </w:p>
          <w:p w:rsidR="00000000" w:rsidRDefault="005E77AE">
            <w:pPr>
              <w:jc w:val="center"/>
            </w:pPr>
            <w:r>
              <w:rPr>
                <w:b/>
                <w:bCs/>
              </w:rPr>
              <w:t>И. Шувалов</w:t>
            </w:r>
          </w:p>
        </w:tc>
      </w:tr>
    </w:tbl>
    <w:p w:rsidR="00000000" w:rsidRDefault="005E77AE">
      <w:r>
        <w:t> </w:t>
      </w:r>
    </w:p>
    <w:p w:rsidR="00000000" w:rsidRDefault="005E77AE">
      <w:pPr>
        <w:jc w:val="both"/>
      </w:pPr>
      <w:bookmarkStart w:id="1" w:name="SUB1"/>
      <w:bookmarkEnd w:id="1"/>
      <w:r>
        <w:rPr>
          <w:rStyle w:val="s3"/>
        </w:rPr>
        <w:t xml:space="preserve">В Перечень внесены изменения в соответствии с </w:t>
      </w:r>
      <w:hyperlink r:id="rId9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23.11.12 г. № 92 (</w:t>
      </w:r>
      <w:hyperlink r:id="rId10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" w:anchor="sub_id=400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02.07.13 г. № 43 (</w:t>
      </w:r>
      <w:hyperlink r:id="rId12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7AE">
      <w:pPr>
        <w:ind w:firstLine="400"/>
        <w:jc w:val="right"/>
      </w:pPr>
      <w:r>
        <w:rPr>
          <w:rStyle w:val="s0"/>
        </w:rPr>
        <w:t xml:space="preserve">Утвержден </w:t>
      </w:r>
    </w:p>
    <w:p w:rsidR="00000000" w:rsidRDefault="005E77AE">
      <w:pPr>
        <w:ind w:firstLine="400"/>
        <w:jc w:val="right"/>
      </w:pPr>
      <w:hyperlink w:anchor="sub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</w:t>
      </w:r>
    </w:p>
    <w:p w:rsidR="00000000" w:rsidRDefault="005E77AE">
      <w:pPr>
        <w:ind w:firstLine="400"/>
        <w:jc w:val="right"/>
      </w:pPr>
      <w:r>
        <w:rPr>
          <w:rStyle w:val="s0"/>
        </w:rPr>
        <w:t xml:space="preserve">экономической комиссии </w:t>
      </w:r>
    </w:p>
    <w:p w:rsidR="00000000" w:rsidRDefault="005E77AE">
      <w:pPr>
        <w:ind w:firstLine="400"/>
        <w:jc w:val="right"/>
      </w:pPr>
      <w:r>
        <w:rPr>
          <w:rStyle w:val="s0"/>
        </w:rPr>
        <w:t>от 16 июля 2012 года № 55</w:t>
      </w:r>
    </w:p>
    <w:p w:rsidR="00000000" w:rsidRDefault="005E77AE">
      <w:pPr>
        <w:jc w:val="center"/>
      </w:pPr>
      <w:r>
        <w:rPr>
          <w:rStyle w:val="s1"/>
        </w:rPr>
        <w:t> </w:t>
      </w:r>
    </w:p>
    <w:p w:rsidR="00000000" w:rsidRDefault="005E77AE">
      <w:pPr>
        <w:jc w:val="center"/>
      </w:pPr>
      <w:r>
        <w:rPr>
          <w:rStyle w:val="s1"/>
        </w:rPr>
        <w:t> </w:t>
      </w:r>
    </w:p>
    <w:p w:rsidR="00000000" w:rsidRDefault="005E77AE">
      <w:pPr>
        <w:jc w:val="center"/>
      </w:pPr>
      <w:r>
        <w:rPr>
          <w:rStyle w:val="s1"/>
        </w:rPr>
        <w:t xml:space="preserve">Перечень </w:t>
      </w:r>
    </w:p>
    <w:p w:rsidR="00000000" w:rsidRDefault="005E77AE">
      <w:pPr>
        <w:jc w:val="center"/>
      </w:pPr>
      <w:r>
        <w:rPr>
          <w:rStyle w:val="s1"/>
        </w:rPr>
        <w:t>товаров и ставок, в отношении которых Республикой Беларусь и Республикой Казахстан применяются ставки ввозных таможенных пошлин, отличные от ставок Единого таможенного тарифа Таможенного союза</w:t>
      </w:r>
    </w:p>
    <w:p w:rsidR="00000000" w:rsidRDefault="005E77AE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65"/>
        <w:gridCol w:w="4969"/>
        <w:gridCol w:w="791"/>
        <w:gridCol w:w="2146"/>
      </w:tblGrid>
      <w:tr w:rsidR="00000000">
        <w:tc>
          <w:tcPr>
            <w:tcW w:w="8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  <w:jc w:val="center"/>
            </w:pPr>
            <w:r>
              <w:rPr>
                <w:color w:val="000000"/>
                <w:sz w:val="24"/>
                <w:szCs w:val="24"/>
              </w:rPr>
              <w:t xml:space="preserve">Код </w:t>
            </w:r>
            <w:hyperlink r:id="rId13" w:history="1">
              <w:r>
                <w:rPr>
                  <w:rStyle w:val="a4"/>
                  <w:sz w:val="24"/>
                  <w:szCs w:val="24"/>
                </w:rPr>
                <w:t>ТН ВЭД</w:t>
              </w:r>
            </w:hyperlink>
          </w:p>
        </w:tc>
        <w:tc>
          <w:tcPr>
            <w:tcW w:w="259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Наименование позиции</w:t>
            </w:r>
          </w:p>
        </w:tc>
        <w:tc>
          <w:tcPr>
            <w:tcW w:w="41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Доп. ед. изм.</w:t>
            </w:r>
          </w:p>
        </w:tc>
        <w:tc>
          <w:tcPr>
            <w:tcW w:w="11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Ставка ввозной таможенной пошлины (в процентах от таможенной стоимости либо в евро, либо в долларах США)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8701 20 101 8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8701 20 901 4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с момента выпуска которых прошло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2,2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8701 20 901 5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2,2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8701 20 901 7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30, но не менее 2,2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8702 10 192 4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8702 10 192 8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30, но не менее 2,2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8702 10 199 5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8702 10 199 6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экологического класса 4 или выше</w:t>
            </w:r>
            <w:r>
              <w:rPr>
                <w:color w:val="000000"/>
                <w:sz w:val="24"/>
                <w:szCs w:val="24"/>
                <w:vertAlign w:val="superscript"/>
              </w:rPr>
              <w:t>7)</w:t>
            </w:r>
            <w:r>
              <w:rPr>
                <w:color w:val="000000"/>
                <w:sz w:val="24"/>
                <w:szCs w:val="24"/>
              </w:rPr>
              <w:t>, габаритной длиной не менее 11,5 м, имеющие не менее 41 посадочного места, включая водителя, объем багажного отсека не менее 5 м³ и предназначенные для перевозки только сидящих пассажиров и их багажа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30, но не менее 2,2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8702 10 199 7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30, но не менее 2,2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8702 10 912 0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автобусы, предназначенные для перевозки более 120 человек, включая водителя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8702 10 992 3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с момента выпуска которых прошло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8702 10 992 4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8702 10 992 8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8702 10 999 3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с момента выпуска которых прошло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8702 10 999 4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 xml:space="preserve">3 евро за 1 см³ </w:t>
            </w:r>
            <w:r>
              <w:rPr>
                <w:color w:val="000000"/>
                <w:sz w:val="24"/>
                <w:szCs w:val="24"/>
              </w:rPr>
              <w:t>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8702 90 192 4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8702 90 192 8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8702 90 199 5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8702 90 392 3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с момента выпуска которых прошло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8702 90 392 4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8702 90 392 8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8702 90 399 3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с момента выпуска которых прошло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8702 90 399 4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r>
              <w:rPr>
                <w:rStyle w:val="s0"/>
              </w:rPr>
              <w:t>8703 21 109 1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r>
              <w:rPr>
                <w:rStyle w:val="s0"/>
              </w:rPr>
              <w:t xml:space="preserve">- - - - - четырехколесные </w:t>
            </w:r>
          </w:p>
          <w:p w:rsidR="00000000" w:rsidRDefault="005E77AE">
            <w:r>
              <w:rPr>
                <w:rStyle w:val="s0"/>
              </w:rPr>
              <w:t>моторные транспортные средства повышенной проходимости с двумя или четырьмя ведущими колесами, оборудованные сиденьем мотоциклетного (седельного) типа, рычагами ручного рулевого управления двумя передними колесами, шинами для бездорожья, с автоматическим и</w:t>
            </w:r>
            <w:r>
              <w:rPr>
                <w:rStyle w:val="s0"/>
              </w:rPr>
              <w:t>ли ручным управлением трансмиссией, обеспечивающей задний ход, и массой нетто транспортного средства более 100 кг, но менее 420 кг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jc w:val="center"/>
            </w:pPr>
            <w:r>
              <w:rPr>
                <w:rStyle w:val="s0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r>
              <w:rPr>
                <w:rStyle w:val="s0"/>
              </w:rPr>
              <w:t>30, но не менее 1,2 евро за 1 см</w:t>
            </w:r>
            <w:r>
              <w:rPr>
                <w:rStyle w:val="s0"/>
                <w:vertAlign w:val="superscript"/>
              </w:rPr>
              <w:t>3</w:t>
            </w:r>
            <w:r>
              <w:rPr>
                <w:rStyle w:val="s0"/>
              </w:rPr>
              <w:t xml:space="preserve">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r>
              <w:rPr>
                <w:rStyle w:val="s0"/>
              </w:rPr>
              <w:t>8703 21 109 9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r>
              <w:rPr>
                <w:rStyle w:val="s0"/>
              </w:rPr>
              <w:t>- - - - - 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jc w:val="center"/>
            </w:pPr>
            <w:r>
              <w:rPr>
                <w:rStyle w:val="s0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r>
              <w:rPr>
                <w:rStyle w:val="s0"/>
              </w:rPr>
              <w:t>30, но не менее 1,2 евро з</w:t>
            </w:r>
            <w:r>
              <w:rPr>
                <w:rStyle w:val="s0"/>
              </w:rPr>
              <w:t>а 1 см</w:t>
            </w:r>
            <w:r>
              <w:rPr>
                <w:rStyle w:val="s0"/>
                <w:vertAlign w:val="superscript"/>
              </w:rPr>
              <w:t>3</w:t>
            </w:r>
            <w:r>
              <w:rPr>
                <w:rStyle w:val="s0"/>
              </w:rPr>
              <w:t xml:space="preserve">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8703 21 909 3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автомобили, с момента выпуска которых прошло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2,5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8703 21 909 4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автомобили,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2,5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8703 21 909 8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35, но не менее 1,2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8703 22 109 1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моторные транспортные средства, оборудованные для проживания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30, но не менее 1,45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8703 22 109 9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30, но не менее 1,45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8703 22 909 3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автомобили, с момента выпуска которых прошло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2,7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8703 22 909 4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2,7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8703 22 909 8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35, но не менее 1,45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8703 23 110 0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моторные транспортные средства, оборудованные для проживания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30, но не менее 1,9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8703 23 191 0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с рабочим объемом цилиндров двигателя более 1500 см³, но не более 1800 см³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30, но не менее 1,5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8703 23 192 1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с рабочим объемом цилиндров двигателя более 1800 см³, но не более 2300 см³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30, но не менее 2,15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8703 23 192 2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30, но не менее 2,15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8703 23 901 3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автомобили, с момента выпуска которых прошло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2,9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8703 23 901 4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автомобили,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2,9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8703 23 901 8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35, но не менее 1,5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8703 23 902 2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автомобили, с момента выпуска которых прошло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4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8703 23 902 3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автомобили,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4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8703 23 902 4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35, но не менее 2,15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8703 23 902 7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автомобили, с момента выпуска которых прошло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4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8703 23 902 8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автомобили,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4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8703 23 902 9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35, но не менее 2,15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r>
              <w:rPr>
                <w:rStyle w:val="s0"/>
              </w:rPr>
              <w:t>8703 24 109 1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r>
              <w:rPr>
                <w:rStyle w:val="s0"/>
              </w:rPr>
              <w:t>- - - - - автомобили повышенной проходимости с рабочим объемом цилиндров двигателя более 4200 см3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jc w:val="center"/>
            </w:pPr>
            <w:r>
              <w:rPr>
                <w:rStyle w:val="s0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r>
              <w:rPr>
                <w:rStyle w:val="s0"/>
              </w:rPr>
              <w:t>30, но не менее 2,8 евро за 1 см</w:t>
            </w:r>
            <w:r>
              <w:rPr>
                <w:rStyle w:val="s0"/>
                <w:vertAlign w:val="superscript"/>
              </w:rPr>
              <w:t>3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r>
              <w:rPr>
                <w:rStyle w:val="s0"/>
              </w:rPr>
              <w:t>8703 24 109 9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r>
              <w:rPr>
                <w:rStyle w:val="s0"/>
              </w:rPr>
              <w:t>- - - - - 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jc w:val="center"/>
            </w:pPr>
            <w:r>
              <w:rPr>
                <w:rStyle w:val="s0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r>
              <w:rPr>
                <w:rStyle w:val="s0"/>
              </w:rPr>
              <w:t>30, но не менее 2,8 евро за 1 см</w:t>
            </w:r>
            <w:r>
              <w:rPr>
                <w:rStyle w:val="s0"/>
                <w:vertAlign w:val="superscript"/>
              </w:rPr>
              <w:t>3</w:t>
            </w:r>
            <w:r>
              <w:rPr>
                <w:rStyle w:val="s0"/>
              </w:rPr>
              <w:t xml:space="preserve">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8703 24 909 3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автомобили, с момента выпуска которых прошло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5,8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8703 24 909 4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автомобили,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5,8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8703 24 909 8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35, но не менее 2,8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8703 31 109 0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30, но не менее 1,45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8703 31 909 3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автомобили, с момента выпуска которых прошло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2,7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8703 31 909 4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автомобили,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2,7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8703 31 909 8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35, но не менее 1,45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8703 32 110 0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моторные транспортные средства, оборудованные для проживания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30, но не менее 1,9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8703 32 199 0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30, но не менее 2,15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8703 32 909 3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автомобили, с момента выпуска которых прошло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4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8703 32 909 4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автомобили,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4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8703 32 909 8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35, но не менее 2,15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8703 33 110 0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моторные транспортные средства, оборудованные для проживания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30, но не менее 2,5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8703 33 199 0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30, но не менее 2,8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8703 33 909 3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автомобили, с момента выпуска которых прошло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5,8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8703 33 909 4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автомобили,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5,8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8703 33 909 8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35, но не менее 2,8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8704 10 101 9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8704 10 102 2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с количеством осей не более двух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15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8704 10 102 9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8704 10 108 0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8704 21 310 0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новые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8704 21 390 3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с момента выпуска которых прошло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8704 21 390 4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8704 21 390 8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8704 21 910 0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новые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8704 21 990 3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с момента выпуска которых прошло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8704 21 990 4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8704 21 990 8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8704 22 100 0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специально предназначенные для перевозки высокорадиоактивных материалов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8704 22 910 1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транспортные средства (типа «форвардер»), оборудованные погрузочно-разгрузочным устройством, предназначенные для перемещения лесоматериалов от места валки деревьев до лесопогрузочного пункта или лесовозной дороги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rStyle w:val="s0"/>
                <w:sz w:val="24"/>
                <w:szCs w:val="24"/>
              </w:rPr>
              <w:t>8704 22 910 8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8704 22 990 1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транспортные средства (типа «форвардер»), оборудованные погрузочно-разгрузочным устройством, предназначенные для перемещения лесоматериалов от места валки деревьев до лесопогрузочного пункта или лесовозной дороги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8704 22 990 4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с момента выпуска которых прошло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4,4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8704 22 990 5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4,4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8704 22 990 7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30, но не менее 2,2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8704 23 910 1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- 4-гусеничные машины с двумя ведущими тележками, предназначенные для перевозки крупногабаритных грузов длиной свыше 24 м в заболоченных или снежных рай</w:t>
            </w:r>
            <w:r>
              <w:rPr>
                <w:color w:val="000000"/>
                <w:sz w:val="24"/>
                <w:szCs w:val="24"/>
              </w:rPr>
              <w:t xml:space="preserve">онах 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8704 23 910 2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- 4-гусеничные машины с двумя ведущими тележками для использования с устанавливаемыми на них подъемными машинами или машинами для разработки грунта, предназначенные для работы в заболоченных или снежных районах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8704 23 910 8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8704 23 990 4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с момента выпуска которых прошло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4,4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8704 23 990 5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4,4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8704 23 990 7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30, но не менее 2,2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8704 31 310 0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новые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8704 31 390 3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с момента выпуска которых прошло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8704 31 390 4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8704 31 390 8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8704 31 910 0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новые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8704 31 990 3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с момента выпуска которых прошло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8704 31 990 4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8704 31 990 8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8704 32 910 1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транспортные средства (типа «форвардер»), оборудованные погрузочно-разгрузочным устройством, предназначенные для перемещения лесоматериалов от места валки деревьев до лесопогрузочного пункта или лесовозной дороги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8704 32 910 9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8704 32 990 1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транспортные средства (типа «форвардер»), оборудованные погрузочно-разгрузочным устройством, предназначенные для перемещения лесоматериалов от места валки деревьев до лесопогрузочного пункта или лесовозной дороги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8704 32 990 4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с момента выпуска которых прошло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8704 32 990 5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8704 32 990 7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8705 30 000 5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бывшие в эксплуатации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4,4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8705 40 000 1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новые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8705 40 000 5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бывшие в эксплуатации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4,4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8705 90 100 5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бывшие в эксплуатации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4,4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8705 90 300 5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бывшие в эксплуатации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4,4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8705 90 900 5</w:t>
            </w:r>
          </w:p>
        </w:tc>
        <w:tc>
          <w:tcPr>
            <w:tcW w:w="25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бывшие в эксплуатации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7AE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 xml:space="preserve">4,4 евро за 1 см³ </w:t>
            </w:r>
            <w:r>
              <w:rPr>
                <w:color w:val="000000"/>
                <w:sz w:val="24"/>
                <w:szCs w:val="24"/>
              </w:rPr>
              <w:t>объема двигателя</w:t>
            </w:r>
          </w:p>
        </w:tc>
      </w:tr>
    </w:tbl>
    <w:p w:rsidR="00000000" w:rsidRDefault="005E77AE"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77AE" w:rsidRDefault="005E77AE" w:rsidP="005E77AE">
      <w:r>
        <w:separator/>
      </w:r>
    </w:p>
  </w:endnote>
  <w:endnote w:type="continuationSeparator" w:id="0">
    <w:p w:rsidR="005E77AE" w:rsidRDefault="005E77AE" w:rsidP="005E77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7AE" w:rsidRDefault="005E77A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7AE" w:rsidRDefault="005E77A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7AE" w:rsidRDefault="005E77A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77AE" w:rsidRDefault="005E77AE" w:rsidP="005E77AE">
      <w:r>
        <w:separator/>
      </w:r>
    </w:p>
  </w:footnote>
  <w:footnote w:type="continuationSeparator" w:id="0">
    <w:p w:rsidR="005E77AE" w:rsidRDefault="005E77AE" w:rsidP="005E77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7AE" w:rsidRDefault="005E77A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7AE" w:rsidRDefault="005E77AE" w:rsidP="005E77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77AE" w:rsidRPr="005E77AE" w:rsidRDefault="005E77AE" w:rsidP="005E77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РЕШЕНИЕ СОВЕТА ЕВРАЗИЙСКОЙ ЭКОНОМИЧЕСКОЙ КОМИССИИ...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7AE" w:rsidRDefault="005E77A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77AE"/>
    <w:rsid w:val="005E7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rFonts w:ascii="Arial" w:hAnsi="Arial" w:cs="Arial"/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a00">
    <w:name w:val="a0"/>
    <w:basedOn w:val="a"/>
    <w:pPr>
      <w:overflowPunct w:val="0"/>
      <w:autoSpaceDE w:val="0"/>
      <w:autoSpaceDN w:val="0"/>
      <w:ind w:left="28" w:right="28"/>
    </w:pPr>
    <w:rPr>
      <w:color w:val="auto"/>
      <w:sz w:val="26"/>
      <w:szCs w:val="26"/>
    </w:rPr>
  </w:style>
  <w:style w:type="paragraph" w:customStyle="1" w:styleId="2">
    <w:name w:val="2"/>
    <w:basedOn w:val="a"/>
    <w:pPr>
      <w:overflowPunct w:val="0"/>
      <w:autoSpaceDE w:val="0"/>
      <w:autoSpaceDN w:val="0"/>
      <w:ind w:left="454" w:right="57" w:hanging="397"/>
    </w:pPr>
    <w:rPr>
      <w:color w:val="auto"/>
      <w:sz w:val="26"/>
      <w:szCs w:val="26"/>
    </w:rPr>
  </w:style>
  <w:style w:type="paragraph" w:customStyle="1" w:styleId="a10">
    <w:name w:val="a1"/>
    <w:basedOn w:val="a"/>
    <w:pPr>
      <w:overflowPunct w:val="0"/>
      <w:autoSpaceDE w:val="0"/>
      <w:autoSpaceDN w:val="0"/>
      <w:ind w:left="28" w:right="28"/>
      <w:jc w:val="center"/>
    </w:pPr>
    <w:rPr>
      <w:color w:val="auto"/>
      <w:sz w:val="26"/>
      <w:szCs w:val="26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77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77A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77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77A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rFonts w:ascii="Arial" w:hAnsi="Arial" w:cs="Arial"/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a00">
    <w:name w:val="a0"/>
    <w:basedOn w:val="a"/>
    <w:pPr>
      <w:overflowPunct w:val="0"/>
      <w:autoSpaceDE w:val="0"/>
      <w:autoSpaceDN w:val="0"/>
      <w:ind w:left="28" w:right="28"/>
    </w:pPr>
    <w:rPr>
      <w:color w:val="auto"/>
      <w:sz w:val="26"/>
      <w:szCs w:val="26"/>
    </w:rPr>
  </w:style>
  <w:style w:type="paragraph" w:customStyle="1" w:styleId="2">
    <w:name w:val="2"/>
    <w:basedOn w:val="a"/>
    <w:pPr>
      <w:overflowPunct w:val="0"/>
      <w:autoSpaceDE w:val="0"/>
      <w:autoSpaceDN w:val="0"/>
      <w:ind w:left="454" w:right="57" w:hanging="397"/>
    </w:pPr>
    <w:rPr>
      <w:color w:val="auto"/>
      <w:sz w:val="26"/>
      <w:szCs w:val="26"/>
    </w:rPr>
  </w:style>
  <w:style w:type="paragraph" w:customStyle="1" w:styleId="a10">
    <w:name w:val="a1"/>
    <w:basedOn w:val="a"/>
    <w:pPr>
      <w:overflowPunct w:val="0"/>
      <w:autoSpaceDE w:val="0"/>
      <w:autoSpaceDN w:val="0"/>
      <w:ind w:left="28" w:right="28"/>
      <w:jc w:val="center"/>
    </w:pPr>
    <w:rPr>
      <w:color w:val="auto"/>
      <w:sz w:val="26"/>
      <w:szCs w:val="26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77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77A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77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77A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27291" TargetMode="External"/><Relationship Id="rId13" Type="http://schemas.openxmlformats.org/officeDocument/2006/relationships/hyperlink" Target="http://online.zakon.kz/Document/?doc_id=3108898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227291" TargetMode="External"/><Relationship Id="rId12" Type="http://schemas.openxmlformats.org/officeDocument/2006/relationships/hyperlink" Target="http://online.zakon.kz/Document/?doc_id=3143848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2661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29649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9645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2974</Words>
  <Characters>11870</Characters>
  <Application>Microsoft Office Word</Application>
  <DocSecurity>0</DocSecurity>
  <Lines>98</Lines>
  <Paragraphs>29</Paragraphs>
  <ScaleCrop>false</ScaleCrop>
  <Company>SPecialiST RePack</Company>
  <LinksUpToDate>false</LinksUpToDate>
  <CharactersWithSpaces>14815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РЕШЕНИЕ СОВЕТА ЕВРАЗИЙСКОЙ ЭКОНОМИЧЕСКОЙ КОМИССИИ...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2024-01-26T03:04:00Z</dcterms:created>
  <dcterms:modified xsi:type="dcterms:W3CDTF">2024-01-26T03:04:00Z</dcterms:modified>
</cp:coreProperties>
</file>