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61CC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18 марта 2014 года № 44 «Об утверждении перечня продукции, в отношении которой подача таможенной декларации сопровождается представлением документа об оценке соответствия (сведений о документе об оценк</w:t>
      </w:r>
      <w:r>
        <w:rPr>
          <w:rStyle w:val="s0"/>
          <w:b/>
          <w:bCs/>
        </w:rPr>
        <w:t>е соответствия) требованиям технического регламента Таможенного союза «О безопасности мебельной продукции» (ТР ТС 025/2012)» (г. Москва) (с изменениями и дополнениями по состоянию на 28.12.2021 г.)</w:t>
      </w:r>
    </w:p>
    <w:p w:rsidR="00000000" w:rsidRDefault="00FC61CC">
      <w:pPr>
        <w:pStyle w:val="pj"/>
      </w:pPr>
      <w:r>
        <w:rPr>
          <w:rStyle w:val="s0"/>
          <w:b/>
          <w:bCs/>
        </w:rPr>
        <w:t> </w:t>
      </w:r>
    </w:p>
    <w:p w:rsidR="00000000" w:rsidRDefault="00FC61CC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18 марта 2014 г.</w:t>
      </w:r>
    </w:p>
    <w:p w:rsidR="00000000" w:rsidRDefault="00FC61CC">
      <w:pPr>
        <w:pStyle w:val="pj"/>
      </w:pPr>
      <w:r>
        <w:rPr>
          <w:rStyle w:val="s0"/>
        </w:rPr>
        <w:t> </w:t>
      </w:r>
    </w:p>
    <w:p w:rsidR="00000000" w:rsidRDefault="00FC61CC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FC61CC">
      <w:pPr>
        <w:pStyle w:val="pj"/>
      </w:pPr>
      <w:r>
        <w:rPr>
          <w:rStyle w:val="s0"/>
        </w:rPr>
        <w:t> </w:t>
      </w:r>
    </w:p>
    <w:p w:rsidR="00000000" w:rsidRDefault="00FC61CC">
      <w:pPr>
        <w:pStyle w:val="pj"/>
      </w:pPr>
      <w:hyperlink r:id="rId8" w:anchor="sub_id=4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</w:t>
      </w:r>
      <w:r>
        <w:rPr>
          <w:rStyle w:val="s0"/>
        </w:rPr>
        <w:t xml:space="preserve">азийской экономической комиссии от 12.05.15 г. № 50 (вступило в силу по истечении 30 календарных дней с даты его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C61CC">
      <w:pPr>
        <w:pStyle w:val="pj"/>
      </w:pPr>
      <w:hyperlink r:id="rId10" w:anchor="sub_id=10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01.09.15 г. № 109 (вступило в силу по истечении 30 календарных дней с даты его официального </w:t>
      </w:r>
      <w:hyperlink r:id="rId11" w:history="1">
        <w:r>
          <w:rPr>
            <w:rStyle w:val="a4"/>
          </w:rPr>
          <w:t>опубликова</w:t>
        </w:r>
        <w:r>
          <w:rPr>
            <w:rStyle w:val="a4"/>
          </w:rPr>
          <w:t>ния</w:t>
        </w:r>
      </w:hyperlink>
      <w:r>
        <w:rPr>
          <w:rStyle w:val="s0"/>
        </w:rPr>
        <w:t>, но не ранее 1 сентября 2015 г.);</w:t>
      </w:r>
    </w:p>
    <w:p w:rsidR="00000000" w:rsidRDefault="00FC61CC">
      <w:pPr>
        <w:pStyle w:val="pj"/>
      </w:pPr>
      <w:hyperlink r:id="rId12" w:anchor="sub_id=4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16.05.17 г. № 54 (вступило в силу по истечении 30 календарных дней с даты его офи</w:t>
      </w:r>
      <w:r>
        <w:rPr>
          <w:rStyle w:val="s0"/>
        </w:rPr>
        <w:t xml:space="preserve">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C61CC">
      <w:pPr>
        <w:pStyle w:val="pj"/>
      </w:pPr>
      <w:hyperlink r:id="rId14" w:anchor="sub_id=1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28.12.21 г. № 191 (вступило </w:t>
      </w:r>
      <w:r>
        <w:rPr>
          <w:rStyle w:val="s0"/>
        </w:rPr>
        <w:t xml:space="preserve">в силу по истечении 30 календарных дней с даты его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правоотношения, возникшие с 1 января 2022 г.).</w:t>
      </w:r>
    </w:p>
    <w:p w:rsidR="00000000" w:rsidRDefault="00FC61CC">
      <w:pPr>
        <w:pStyle w:val="pj"/>
      </w:pPr>
      <w:r>
        <w:rPr>
          <w:rStyle w:val="s0"/>
        </w:rPr>
        <w:t> </w:t>
      </w:r>
    </w:p>
    <w:p w:rsidR="00000000" w:rsidRDefault="00FC61CC">
      <w:pPr>
        <w:pStyle w:val="pj"/>
      </w:pPr>
      <w:r>
        <w:rPr>
          <w:rStyle w:val="s0"/>
        </w:rPr>
        <w:t>Предыдущие редакции:</w:t>
      </w:r>
    </w:p>
    <w:p w:rsidR="00000000" w:rsidRDefault="00FC61CC">
      <w:pPr>
        <w:pStyle w:val="pj"/>
      </w:pPr>
      <w:r>
        <w:rPr>
          <w:rStyle w:val="s0"/>
        </w:rPr>
        <w:t> </w:t>
      </w:r>
    </w:p>
    <w:p w:rsidR="00000000" w:rsidRDefault="00FC61CC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12.05.15 г.</w:t>
      </w:r>
    </w:p>
    <w:p w:rsidR="00000000" w:rsidRDefault="00FC61CC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01.09.15 г.</w:t>
      </w:r>
    </w:p>
    <w:p w:rsidR="00000000" w:rsidRDefault="00FC61CC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16.05.17 г.</w:t>
      </w:r>
    </w:p>
    <w:p w:rsidR="00000000" w:rsidRDefault="00FC61CC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28.12.21 г.</w:t>
      </w:r>
    </w:p>
    <w:p w:rsidR="00000000" w:rsidRDefault="00FC61CC">
      <w:pPr>
        <w:pStyle w:val="pj"/>
      </w:pPr>
      <w:r>
        <w:rPr>
          <w:rStyle w:val="s0"/>
        </w:rPr>
        <w:t> </w:t>
      </w:r>
    </w:p>
    <w:p w:rsidR="00000000" w:rsidRDefault="00FC61CC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61CC" w:rsidRDefault="00FC61CC" w:rsidP="00FC61CC">
      <w:r>
        <w:separator/>
      </w:r>
    </w:p>
  </w:endnote>
  <w:endnote w:type="continuationSeparator" w:id="0">
    <w:p w:rsidR="00FC61CC" w:rsidRDefault="00FC61CC" w:rsidP="00FC61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61CC" w:rsidRDefault="00FC61C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61CC" w:rsidRDefault="00FC61C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61CC" w:rsidRDefault="00FC61C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61CC" w:rsidRDefault="00FC61CC" w:rsidP="00FC61CC">
      <w:r>
        <w:separator/>
      </w:r>
    </w:p>
  </w:footnote>
  <w:footnote w:type="continuationSeparator" w:id="0">
    <w:p w:rsidR="00FC61CC" w:rsidRDefault="00FC61CC" w:rsidP="00FC61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61CC" w:rsidRDefault="00FC61C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61CC" w:rsidRDefault="00FC61CC" w:rsidP="00FC61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61CC" w:rsidRPr="00FC61CC" w:rsidRDefault="00FC61CC" w:rsidP="00FC61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18 марта 2014 года № 44 «Об утверждении перечня продукции, в отношении которой подача таможенной декларации сопровождается представлением документа об оценке соответствия (сведений о документе об оценке соответствия) требованиям технического регламента Таможенного союза «О безопасности мебельной продукции» (ТР ТС 025/2012)» (г. Москва) (с изменениями и дополнениями по состоянию на 28.12.2021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61CC" w:rsidRDefault="00FC61C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61CC"/>
    <w:rsid w:val="00FC61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61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61C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61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61C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61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61C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61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61C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481348" TargetMode="External"/><Relationship Id="rId13" Type="http://schemas.openxmlformats.org/officeDocument/2006/relationships/hyperlink" Target="http://online.zakon.kz/Document/?doc_id=33132724" TargetMode="External"/><Relationship Id="rId18" Type="http://schemas.openxmlformats.org/officeDocument/2006/relationships/hyperlink" Target="http://online.zakon.kz/Document/?doc_id=31823560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yperlink" Target="http://online.zakon.kz/Document/?doc_id=39036951" TargetMode="External"/><Relationship Id="rId17" Type="http://schemas.openxmlformats.org/officeDocument/2006/relationships/hyperlink" Target="http://online.zakon.kz/Document/?doc_id=38478069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061167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102127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355076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4133850" TargetMode="External"/><Relationship Id="rId19" Type="http://schemas.openxmlformats.org/officeDocument/2006/relationships/hyperlink" Target="http://online.zakon.kz/Document/?doc_id=3603853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516265" TargetMode="External"/><Relationship Id="rId14" Type="http://schemas.openxmlformats.org/officeDocument/2006/relationships/hyperlink" Target="http://online.zakon.kz/Document/?doc_id=37391912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212</Words>
  <Characters>2285</Characters>
  <Application>Microsoft Office Word</Application>
  <DocSecurity>0</DocSecurity>
  <Lines>19</Lines>
  <Paragraphs>4</Paragraphs>
  <ScaleCrop>false</ScaleCrop>
  <Company/>
  <LinksUpToDate>false</LinksUpToDate>
  <CharactersWithSpaces>2493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18 марта 2014 года № 44 «Об утверждении перечня продукции, в отношении которой подача таможенной декларации сопровождается представлением документа об оценке соответствия (сведений о документе об оценке соответствия) требованиям технического регламента Таможенного союза «О безопасности мебельной продукции» (ТР ТС 025/2012)» (г. Москва) (с изменениями и дополнениями по состоянию на 28.12.2021 г.) (©Paragraph 2023)</dc:title>
  <dc:subject/>
  <dc:creator>Сергей М</dc:creator>
  <cp:keywords/>
  <dc:description/>
  <cp:lastModifiedBy>Сергей М</cp:lastModifiedBy>
  <cp:revision>2</cp:revision>
  <dcterms:created xsi:type="dcterms:W3CDTF">2023-11-08T02:57:00Z</dcterms:created>
  <dcterms:modified xsi:type="dcterms:W3CDTF">2023-11-08T02:57:00Z</dcterms:modified>
</cp:coreProperties>
</file>