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0B4F">
      <w:pPr>
        <w:pStyle w:val="pji"/>
      </w:pPr>
      <w:bookmarkStart w:id="0" w:name="_GoBack"/>
      <w:bookmarkEnd w:id="0"/>
      <w:r>
        <w:rPr>
          <w:rStyle w:val="s3"/>
        </w:rPr>
        <w:t xml:space="preserve">Утратили силу с 1 января 2023 года в соответствии с </w:t>
      </w:r>
      <w:hyperlink r:id="rId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8 января 2021 года № 7</w:t>
      </w:r>
    </w:p>
    <w:p w:rsidR="00000000" w:rsidRDefault="00AA0B4F">
      <w:pPr>
        <w:pStyle w:val="pr"/>
      </w:pPr>
      <w:r>
        <w:rPr>
          <w:rStyle w:val="s0"/>
        </w:rPr>
        <w:t>Приложение 54</w:t>
      </w:r>
    </w:p>
    <w:p w:rsidR="00000000" w:rsidRDefault="00AA0B4F">
      <w:pPr>
        <w:pStyle w:val="pr"/>
      </w:pPr>
      <w:r>
        <w:rPr>
          <w:rStyle w:val="s0"/>
        </w:rPr>
        <w:t xml:space="preserve">к </w:t>
      </w:r>
      <w:hyperlink r:id="rId8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AA0B4F">
      <w:pPr>
        <w:pStyle w:val="pr"/>
      </w:pPr>
      <w:r>
        <w:rPr>
          <w:rStyle w:val="s0"/>
        </w:rPr>
        <w:t>Республики Казахстан</w:t>
      </w:r>
    </w:p>
    <w:p w:rsidR="00000000" w:rsidRDefault="00AA0B4F">
      <w:pPr>
        <w:pStyle w:val="pr"/>
      </w:pPr>
      <w:r>
        <w:rPr>
          <w:rStyle w:val="s0"/>
        </w:rPr>
        <w:t>от 25 декабря 2014 года № 587</w:t>
      </w:r>
    </w:p>
    <w:p w:rsidR="00000000" w:rsidRDefault="00AA0B4F">
      <w:pPr>
        <w:pStyle w:val="pr"/>
      </w:pPr>
      <w:r>
        <w:rPr>
          <w:rStyle w:val="s0"/>
        </w:rPr>
        <w:t> </w:t>
      </w:r>
    </w:p>
    <w:p w:rsidR="00000000" w:rsidRDefault="00AA0B4F">
      <w:pPr>
        <w:pStyle w:val="pr"/>
      </w:pPr>
      <w:r>
        <w:rPr>
          <w:rStyle w:val="s0"/>
        </w:rPr>
        <w:t> </w:t>
      </w:r>
    </w:p>
    <w:p w:rsidR="00000000" w:rsidRDefault="00AA0B4F">
      <w:pPr>
        <w:pStyle w:val="pji"/>
      </w:pPr>
      <w:r>
        <w:rPr>
          <w:rStyle w:val="s3"/>
        </w:rPr>
        <w:t xml:space="preserve">Форма 701.00 изложена в редакции </w:t>
      </w:r>
      <w:hyperlink r:id="rId9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финансов РК от 21.06.16 г. № 324 (</w:t>
      </w:r>
      <w:hyperlink r:id="rId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A0B4F">
      <w:pPr>
        <w:pStyle w:val="pc"/>
      </w:pPr>
      <w:hyperlink r:id="rId11" w:history="1">
        <w:r>
          <w:rPr>
            <w:rStyle w:val="a4"/>
          </w:rPr>
          <w:t>Расчет текущих платежей по налогу на транспортные средства</w:t>
        </w:r>
      </w:hyperlink>
    </w:p>
    <w:p w:rsidR="00000000" w:rsidRDefault="00AA0B4F">
      <w:pPr>
        <w:pStyle w:val="pr"/>
      </w:pPr>
      <w:r>
        <w:rPr>
          <w:rStyle w:val="s0"/>
        </w:rPr>
        <w:t> </w:t>
      </w:r>
    </w:p>
    <w:p w:rsidR="00000000" w:rsidRDefault="00AA0B4F">
      <w:pPr>
        <w:pStyle w:val="pr"/>
      </w:pPr>
      <w:r>
        <w:rPr>
          <w:rStyle w:val="s0"/>
        </w:rPr>
        <w:t>Форма 701.00</w:t>
      </w:r>
    </w:p>
    <w:p w:rsidR="00000000" w:rsidRDefault="00AA0B4F">
      <w:pPr>
        <w:pStyle w:val="pr"/>
      </w:pPr>
      <w:r>
        <w:rPr>
          <w:rStyle w:val="s0"/>
        </w:rPr>
        <w:t> </w:t>
      </w:r>
    </w:p>
    <w:p w:rsidR="00000000" w:rsidRDefault="00AA0B4F">
      <w:pPr>
        <w:pStyle w:val="pji"/>
      </w:pPr>
      <w:r>
        <w:rPr>
          <w:rStyle w:val="s3"/>
        </w:rPr>
        <w:t xml:space="preserve">См. </w:t>
      </w:r>
      <w:hyperlink r:id="rId12" w:anchor="sub_id=26" w:history="1">
        <w:r>
          <w:rPr>
            <w:rStyle w:val="a4"/>
            <w:i/>
            <w:iCs/>
          </w:rPr>
          <w:t>Требования</w:t>
        </w:r>
      </w:hyperlink>
      <w:r>
        <w:rPr>
          <w:rStyle w:val="s3"/>
        </w:rPr>
        <w:t xml:space="preserve"> к проведению форматно-логического контроля при составлении налоговой отчетности (расчета) текущих платежей по налогу на транспортные средства (форма 701.00)</w:t>
      </w:r>
    </w:p>
    <w:p w:rsidR="00000000" w:rsidRDefault="00AA0B4F">
      <w:pPr>
        <w:pStyle w:val="pr"/>
      </w:pPr>
      <w:r>
        <w:t> </w:t>
      </w:r>
    </w:p>
    <w:p w:rsidR="00000000" w:rsidRDefault="00AA0B4F">
      <w:pPr>
        <w:pStyle w:val="pr"/>
      </w:pPr>
      <w:r>
        <w:rPr>
          <w:rStyle w:val="s0"/>
        </w:rPr>
        <w:t>Приложение 55</w:t>
      </w:r>
    </w:p>
    <w:p w:rsidR="00000000" w:rsidRDefault="00AA0B4F">
      <w:pPr>
        <w:pStyle w:val="pr"/>
      </w:pPr>
      <w:r>
        <w:rPr>
          <w:rStyle w:val="s0"/>
        </w:rPr>
        <w:t xml:space="preserve">к </w:t>
      </w:r>
      <w:hyperlink r:id="rId13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AA0B4F">
      <w:pPr>
        <w:pStyle w:val="pr"/>
      </w:pPr>
      <w:r>
        <w:rPr>
          <w:rStyle w:val="s0"/>
        </w:rPr>
        <w:t>Республики Казахстан</w:t>
      </w:r>
    </w:p>
    <w:p w:rsidR="00000000" w:rsidRDefault="00AA0B4F">
      <w:pPr>
        <w:pStyle w:val="pr"/>
      </w:pPr>
      <w:r>
        <w:rPr>
          <w:rStyle w:val="s0"/>
        </w:rPr>
        <w:t>от 25 декабря 2014 года № 587</w:t>
      </w:r>
    </w:p>
    <w:p w:rsidR="00000000" w:rsidRDefault="00AA0B4F">
      <w:pPr>
        <w:pStyle w:val="pc"/>
      </w:pPr>
      <w:r>
        <w:t> </w:t>
      </w:r>
    </w:p>
    <w:p w:rsidR="00000000" w:rsidRDefault="00AA0B4F">
      <w:pPr>
        <w:pStyle w:val="pc"/>
      </w:pPr>
      <w:r>
        <w:t> </w:t>
      </w:r>
    </w:p>
    <w:p w:rsidR="00000000" w:rsidRDefault="00AA0B4F">
      <w:pPr>
        <w:pStyle w:val="pc"/>
      </w:pPr>
      <w:r>
        <w:rPr>
          <w:rStyle w:val="s1"/>
        </w:rPr>
        <w:t>Правила</w:t>
      </w:r>
      <w:r>
        <w:rPr>
          <w:b/>
          <w:bCs/>
        </w:rPr>
        <w:br/>
      </w:r>
      <w:r>
        <w:rPr>
          <w:rStyle w:val="s1"/>
        </w:rPr>
        <w:t>составления налоговой отчетности (расчета) текущих платежей</w:t>
      </w:r>
      <w:r>
        <w:rPr>
          <w:b/>
          <w:bCs/>
        </w:rPr>
        <w:br/>
      </w:r>
      <w:r>
        <w:rPr>
          <w:rStyle w:val="s1"/>
        </w:rPr>
        <w:t xml:space="preserve">по налогу на транспортные средства </w:t>
      </w:r>
    </w:p>
    <w:p w:rsidR="00000000" w:rsidRDefault="00AA0B4F">
      <w:pPr>
        <w:pStyle w:val="pc"/>
      </w:pPr>
      <w:r>
        <w:rPr>
          <w:rStyle w:val="s1"/>
        </w:rPr>
        <w:t>(форма 701.00)</w:t>
      </w:r>
    </w:p>
    <w:p w:rsidR="00000000" w:rsidRDefault="00AA0B4F">
      <w:pPr>
        <w:pStyle w:val="pc"/>
      </w:pPr>
      <w:r>
        <w:rPr>
          <w:rStyle w:val="s3"/>
        </w:rPr>
        <w:t xml:space="preserve">(с </w:t>
      </w:r>
      <w:hyperlink r:id="rId14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04.09.2017 г.)</w:t>
      </w:r>
    </w:p>
    <w:p w:rsidR="00000000" w:rsidRDefault="00AA0B4F">
      <w:pPr>
        <w:pStyle w:val="pc"/>
      </w:pPr>
      <w:r>
        <w:rPr>
          <w:rStyle w:val="s1"/>
        </w:rPr>
        <w:t> </w:t>
      </w:r>
    </w:p>
    <w:p w:rsidR="00000000" w:rsidRDefault="00AA0B4F">
      <w:pPr>
        <w:pStyle w:val="pc"/>
      </w:pPr>
      <w:r>
        <w:rPr>
          <w:rStyle w:val="s1"/>
        </w:rPr>
        <w:t>1. Общие положения</w:t>
      </w:r>
    </w:p>
    <w:p w:rsidR="00000000" w:rsidRDefault="00AA0B4F">
      <w:pPr>
        <w:pStyle w:val="pc"/>
      </w:pPr>
      <w:r>
        <w:rPr>
          <w:rStyle w:val="s1"/>
        </w:rPr>
        <w:t> </w:t>
      </w:r>
    </w:p>
    <w:p w:rsidR="00000000" w:rsidRDefault="00AA0B4F">
      <w:pPr>
        <w:pStyle w:val="pj"/>
      </w:pPr>
      <w:r>
        <w:rPr>
          <w:rStyle w:val="s0"/>
        </w:rPr>
        <w:t xml:space="preserve">1. Настоящие Правила разработаны в соответствии с </w:t>
      </w:r>
      <w:hyperlink r:id="rId15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 от 10 декабря 2008 года «О налогах и других обязательных платежах в бюджет» (Налоговый кодекс) и определяют порядок составления формы налоговой отчетности (расчета) текущих платежей по налогу на транспортные средства (далее - Расчет), </w:t>
      </w:r>
      <w:r>
        <w:rPr>
          <w:rStyle w:val="s0"/>
        </w:rPr>
        <w:t>предназначенной для исчисления налога на транспортные средства по транспортным средствам, находящимся на праве собственности, праве хозяйственного ведения или праве оперативного управления, а также по транспортным средствам, переданным (полученным) по дого</w:t>
      </w:r>
      <w:r>
        <w:rPr>
          <w:rStyle w:val="s0"/>
        </w:rPr>
        <w:t xml:space="preserve">вору финансового лизинга, до 1 июля текущего налогового периода. Расчет составляется юридическими лицами в соответствии со </w:t>
      </w:r>
      <w:hyperlink r:id="rId16" w:anchor="sub_id=3650000" w:history="1">
        <w:r>
          <w:rPr>
            <w:rStyle w:val="a4"/>
          </w:rPr>
          <w:t>статьей 365</w:t>
        </w:r>
      </w:hyperlink>
      <w:r>
        <w:rPr>
          <w:rStyle w:val="s0"/>
        </w:rPr>
        <w:t xml:space="preserve"> Налогового кодекса.</w:t>
      </w:r>
    </w:p>
    <w:p w:rsidR="00000000" w:rsidRDefault="00AA0B4F">
      <w:pPr>
        <w:pStyle w:val="pji"/>
      </w:pPr>
      <w:r>
        <w:rPr>
          <w:rStyle w:val="s3"/>
        </w:rPr>
        <w:t>Правила дополнен</w:t>
      </w:r>
      <w:r>
        <w:rPr>
          <w:rStyle w:val="s3"/>
        </w:rPr>
        <w:t xml:space="preserve">ы пунктом 1-1 в соответствии с </w:t>
      </w:r>
      <w:hyperlink r:id="rId17" w:anchor="sub_id=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04.09.17 г. № 533</w:t>
      </w:r>
    </w:p>
    <w:p w:rsidR="00000000" w:rsidRDefault="00AA0B4F">
      <w:pPr>
        <w:pStyle w:val="pj"/>
      </w:pPr>
      <w:r>
        <w:rPr>
          <w:rStyle w:val="s0"/>
        </w:rPr>
        <w:t xml:space="preserve">1-1. Настоящие Правила распространяются на обязательства по представлению налоговой отчетности </w:t>
      </w:r>
      <w:r>
        <w:rPr>
          <w:rStyle w:val="s0"/>
        </w:rPr>
        <w:t>с 1 января 2015 года по 31 декабря 2017 года.</w:t>
      </w:r>
    </w:p>
    <w:p w:rsidR="00000000" w:rsidRDefault="00AA0B4F">
      <w:pPr>
        <w:pStyle w:val="pj"/>
      </w:pPr>
      <w:r>
        <w:rPr>
          <w:rStyle w:val="s0"/>
        </w:rPr>
        <w:t xml:space="preserve">2. При заполнении Расчета не допускаются исправления, подчистки и помарки. </w:t>
      </w:r>
    </w:p>
    <w:p w:rsidR="00000000" w:rsidRDefault="00AA0B4F">
      <w:pPr>
        <w:pStyle w:val="pj"/>
      </w:pPr>
      <w:r>
        <w:rPr>
          <w:rStyle w:val="s0"/>
        </w:rPr>
        <w:t>3. При отсутствии показателей соответствующие ячейки Расчета не заполняются.</w:t>
      </w:r>
    </w:p>
    <w:p w:rsidR="00000000" w:rsidRDefault="00AA0B4F">
      <w:pPr>
        <w:pStyle w:val="pj"/>
      </w:pPr>
      <w:r>
        <w:rPr>
          <w:rStyle w:val="s0"/>
        </w:rPr>
        <w:t>4. В настоящих Правилах применяются следующие арифметические знаки: «+» - плюс; «-» - минус; «х» - умножение; «/» - деление; «=» - равно.</w:t>
      </w:r>
    </w:p>
    <w:p w:rsidR="00000000" w:rsidRDefault="00AA0B4F">
      <w:pPr>
        <w:pStyle w:val="pj"/>
      </w:pPr>
      <w:r>
        <w:rPr>
          <w:rStyle w:val="s0"/>
        </w:rPr>
        <w:t>5. Отрицательные значения сумм обозначаются знаком «-» в первой левой ячейке соответствующей строки Расчета.</w:t>
      </w:r>
    </w:p>
    <w:p w:rsidR="00000000" w:rsidRDefault="00AA0B4F">
      <w:pPr>
        <w:pStyle w:val="pj"/>
      </w:pPr>
      <w:r>
        <w:rPr>
          <w:rStyle w:val="s0"/>
        </w:rPr>
        <w:t>6. При со</w:t>
      </w:r>
      <w:r>
        <w:rPr>
          <w:rStyle w:val="s0"/>
        </w:rPr>
        <w:t>ставлении Расчета:</w:t>
      </w:r>
    </w:p>
    <w:p w:rsidR="00000000" w:rsidRDefault="00AA0B4F">
      <w:pPr>
        <w:pStyle w:val="pj"/>
      </w:pPr>
      <w:r>
        <w:rPr>
          <w:rStyle w:val="s0"/>
        </w:rPr>
        <w:t>1) на бумажном 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000000" w:rsidRDefault="00AA0B4F">
      <w:pPr>
        <w:pStyle w:val="pj"/>
      </w:pPr>
      <w:r>
        <w:rPr>
          <w:rStyle w:val="s0"/>
        </w:rPr>
        <w:t xml:space="preserve">2) на электронном носителе - заполняется в соответствии со </w:t>
      </w:r>
      <w:hyperlink r:id="rId18" w:anchor="sub_id=680000" w:history="1">
        <w:r>
          <w:rPr>
            <w:rStyle w:val="a4"/>
          </w:rPr>
          <w:t>статьей 68</w:t>
        </w:r>
      </w:hyperlink>
      <w:r>
        <w:rPr>
          <w:rStyle w:val="s0"/>
        </w:rPr>
        <w:t xml:space="preserve"> Налогового кодекса.</w:t>
      </w:r>
    </w:p>
    <w:p w:rsidR="00000000" w:rsidRDefault="00AA0B4F">
      <w:pPr>
        <w:pStyle w:val="pj"/>
      </w:pPr>
      <w:r>
        <w:rPr>
          <w:rStyle w:val="s0"/>
        </w:rPr>
        <w:t>7. По объектам, переданным (полученным) по договорам финансового лизинга, Расчет заполняется и представляется лизингополучателем.</w:t>
      </w:r>
    </w:p>
    <w:p w:rsidR="00000000" w:rsidRDefault="00AA0B4F">
      <w:pPr>
        <w:pStyle w:val="pj"/>
      </w:pPr>
      <w:r>
        <w:rPr>
          <w:rStyle w:val="s0"/>
        </w:rPr>
        <w:t>8. Расчет подп</w:t>
      </w:r>
      <w:r>
        <w:rPr>
          <w:rStyle w:val="s0"/>
        </w:rPr>
        <w:t xml:space="preserve">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со своим наименованием, в соответствии с </w:t>
      </w:r>
      <w:hyperlink r:id="rId19" w:anchor="sub_id=610300" w:history="1">
        <w:r>
          <w:rPr>
            <w:rStyle w:val="a4"/>
          </w:rPr>
          <w:t>пунктом 3 статьи 61</w:t>
        </w:r>
      </w:hyperlink>
      <w:r>
        <w:rPr>
          <w:rStyle w:val="s0"/>
        </w:rPr>
        <w:t xml:space="preserve"> Налогового кодекса.</w:t>
      </w:r>
    </w:p>
    <w:p w:rsidR="00000000" w:rsidRDefault="00AA0B4F">
      <w:pPr>
        <w:pStyle w:val="pj"/>
      </w:pPr>
      <w:r>
        <w:rPr>
          <w:rStyle w:val="s0"/>
        </w:rPr>
        <w:t xml:space="preserve">9. При представлении Расчета: </w:t>
      </w:r>
    </w:p>
    <w:p w:rsidR="00000000" w:rsidRDefault="00AA0B4F">
      <w:pPr>
        <w:pStyle w:val="pj"/>
      </w:pPr>
      <w:r>
        <w:rPr>
          <w:rStyle w:val="s0"/>
        </w:rPr>
        <w:t>1) в явочном порядке на бумажном носителе - составляется в двух экземплярах, один экземпляр возвращается налогоплательщик</w:t>
      </w:r>
      <w:r>
        <w:rPr>
          <w:rStyle w:val="s0"/>
        </w:rPr>
        <w:t>у с отметкой органа государственных доходов;</w:t>
      </w:r>
    </w:p>
    <w:p w:rsidR="00000000" w:rsidRDefault="00AA0B4F">
      <w:pPr>
        <w:pStyle w:val="pj"/>
      </w:pPr>
      <w:r>
        <w:rPr>
          <w:rStyle w:val="s0"/>
        </w:rPr>
        <w:t>2) по почте заказным письмом с уведомлением на бумажном носителе - налогоплательщик получает уведомление почтовой или иной организации связи;</w:t>
      </w:r>
    </w:p>
    <w:p w:rsidR="00000000" w:rsidRDefault="00AA0B4F">
      <w:pPr>
        <w:pStyle w:val="pj"/>
      </w:pPr>
      <w:r>
        <w:rPr>
          <w:rStyle w:val="s0"/>
        </w:rPr>
        <w:t>3) в электронном виде - налогоплательщик получает уведомление о приня</w:t>
      </w:r>
      <w:r>
        <w:rPr>
          <w:rStyle w:val="s0"/>
        </w:rPr>
        <w:t>тии или непринятии налоговой отчетности системой приема налоговой отчетности органов государственных доходов.</w:t>
      </w:r>
    </w:p>
    <w:p w:rsidR="00000000" w:rsidRDefault="00AA0B4F">
      <w:pPr>
        <w:pStyle w:val="pj"/>
      </w:pPr>
      <w:r>
        <w:rPr>
          <w:rStyle w:val="s0"/>
        </w:rPr>
        <w:t> </w:t>
      </w:r>
    </w:p>
    <w:p w:rsidR="00000000" w:rsidRDefault="00AA0B4F">
      <w:pPr>
        <w:pStyle w:val="pj"/>
      </w:pPr>
      <w:r>
        <w:rPr>
          <w:rStyle w:val="s0"/>
        </w:rPr>
        <w:t> </w:t>
      </w:r>
    </w:p>
    <w:p w:rsidR="00000000" w:rsidRDefault="00AA0B4F">
      <w:pPr>
        <w:pStyle w:val="pc"/>
      </w:pPr>
      <w:r>
        <w:rPr>
          <w:rStyle w:val="s1"/>
        </w:rPr>
        <w:t>2. Составление Расчета (</w:t>
      </w:r>
      <w:hyperlink r:id="rId20" w:history="1">
        <w:r>
          <w:rPr>
            <w:rStyle w:val="a4"/>
            <w:b/>
            <w:bCs/>
          </w:rPr>
          <w:t>форма 701.00</w:t>
        </w:r>
      </w:hyperlink>
      <w:r>
        <w:rPr>
          <w:rStyle w:val="s1"/>
        </w:rPr>
        <w:t>)</w:t>
      </w:r>
    </w:p>
    <w:p w:rsidR="00000000" w:rsidRDefault="00AA0B4F">
      <w:pPr>
        <w:pStyle w:val="pc"/>
      </w:pPr>
      <w:r>
        <w:rPr>
          <w:rStyle w:val="s1"/>
        </w:rPr>
        <w:t> </w:t>
      </w:r>
    </w:p>
    <w:p w:rsidR="00000000" w:rsidRDefault="00AA0B4F">
      <w:pPr>
        <w:pStyle w:val="pj"/>
      </w:pPr>
      <w:r>
        <w:rPr>
          <w:rStyle w:val="s0"/>
        </w:rPr>
        <w:t>10.В разделе «Общая информация о налогоплательщике» налогоплательщик указывает следующие данные:</w:t>
      </w:r>
    </w:p>
    <w:p w:rsidR="00000000" w:rsidRDefault="00AA0B4F">
      <w:pPr>
        <w:pStyle w:val="pj"/>
      </w:pPr>
      <w:r>
        <w:rPr>
          <w:rStyle w:val="s0"/>
        </w:rPr>
        <w:t>1) ИИН/БИН плательщика по налогу на транспортные средства;</w:t>
      </w:r>
    </w:p>
    <w:p w:rsidR="00000000" w:rsidRDefault="00AA0B4F">
      <w:pPr>
        <w:pStyle w:val="pj"/>
      </w:pPr>
      <w:r>
        <w:rPr>
          <w:rStyle w:val="s0"/>
        </w:rPr>
        <w:t>2) налоговый период (год) - отчетный налоговый период, за который представляется Расчет (указывается</w:t>
      </w:r>
      <w:r>
        <w:rPr>
          <w:rStyle w:val="s0"/>
        </w:rPr>
        <w:t xml:space="preserve"> арабскими цифрами);</w:t>
      </w:r>
    </w:p>
    <w:p w:rsidR="00000000" w:rsidRDefault="00AA0B4F">
      <w:pPr>
        <w:pStyle w:val="pj"/>
      </w:pPr>
      <w:r>
        <w:rPr>
          <w:rStyle w:val="s0"/>
        </w:rPr>
        <w:t>3) Ф.И.О. или наименование налогоплательщика.</w:t>
      </w:r>
    </w:p>
    <w:p w:rsidR="00000000" w:rsidRDefault="00AA0B4F">
      <w:pPr>
        <w:pStyle w:val="pj"/>
      </w:pPr>
      <w:r>
        <w:rPr>
          <w:rStyle w:val="s0"/>
        </w:rPr>
        <w:t>Указываются фамилия, имя, отчество (при его наличии) физического лица или полное наименование юридического лица в соответствии с учредительными документами;</w:t>
      </w:r>
    </w:p>
    <w:p w:rsidR="00000000" w:rsidRDefault="00AA0B4F">
      <w:pPr>
        <w:pStyle w:val="pj"/>
      </w:pPr>
      <w:r>
        <w:rPr>
          <w:rStyle w:val="s0"/>
        </w:rPr>
        <w:t>4) вид расчета.</w:t>
      </w:r>
    </w:p>
    <w:p w:rsidR="00000000" w:rsidRDefault="00AA0B4F">
      <w:pPr>
        <w:pStyle w:val="pj"/>
      </w:pPr>
      <w:r>
        <w:rPr>
          <w:rStyle w:val="s0"/>
        </w:rPr>
        <w:t xml:space="preserve">Соответствующие </w:t>
      </w:r>
      <w:r>
        <w:rPr>
          <w:rStyle w:val="s0"/>
        </w:rPr>
        <w:t xml:space="preserve">ячейки отмечаются с учетом отнесения Расчета к видам налоговой отчетности, указанным в </w:t>
      </w:r>
      <w:hyperlink r:id="rId21" w:anchor="sub_id=630000" w:history="1">
        <w:r>
          <w:rPr>
            <w:rStyle w:val="a4"/>
          </w:rPr>
          <w:t>статье 63</w:t>
        </w:r>
      </w:hyperlink>
      <w:r>
        <w:rPr>
          <w:rStyle w:val="s0"/>
        </w:rPr>
        <w:t xml:space="preserve"> Налогового кодекса;</w:t>
      </w:r>
    </w:p>
    <w:p w:rsidR="00000000" w:rsidRDefault="00AA0B4F">
      <w:pPr>
        <w:pStyle w:val="pj"/>
      </w:pPr>
      <w:r>
        <w:rPr>
          <w:rStyle w:val="s0"/>
        </w:rPr>
        <w:t xml:space="preserve">5) номер и дата уведомления. </w:t>
      </w:r>
    </w:p>
    <w:p w:rsidR="00000000" w:rsidRDefault="00AA0B4F">
      <w:pPr>
        <w:pStyle w:val="pj"/>
      </w:pPr>
      <w:r>
        <w:rPr>
          <w:rStyle w:val="s0"/>
        </w:rPr>
        <w:t>Ячейки заполняются в случ</w:t>
      </w:r>
      <w:r>
        <w:rPr>
          <w:rStyle w:val="s0"/>
        </w:rPr>
        <w:t xml:space="preserve">ае представления дополнительного Расчета по уведомлению, предусмотренному </w:t>
      </w:r>
      <w:hyperlink r:id="rId22" w:anchor="sub_id=630304" w:history="1">
        <w:r>
          <w:rPr>
            <w:rStyle w:val="a4"/>
          </w:rPr>
          <w:t>подпунктом 4) пункта 3 статьи 63</w:t>
        </w:r>
      </w:hyperlink>
      <w:r>
        <w:rPr>
          <w:rStyle w:val="s0"/>
        </w:rPr>
        <w:t xml:space="preserve"> Налогового кодекса;</w:t>
      </w:r>
    </w:p>
    <w:p w:rsidR="00000000" w:rsidRDefault="00AA0B4F">
      <w:pPr>
        <w:pStyle w:val="pj"/>
      </w:pPr>
      <w:r>
        <w:rPr>
          <w:rStyle w:val="s0"/>
        </w:rPr>
        <w:t>6) категория налогоплательщика.</w:t>
      </w:r>
    </w:p>
    <w:p w:rsidR="00000000" w:rsidRDefault="00AA0B4F">
      <w:pPr>
        <w:pStyle w:val="pj"/>
      </w:pPr>
      <w:r>
        <w:rPr>
          <w:rStyle w:val="s0"/>
        </w:rPr>
        <w:t>Ячейки отмеча</w:t>
      </w:r>
      <w:r>
        <w:rPr>
          <w:rStyle w:val="s0"/>
        </w:rPr>
        <w:t>ются, в случае если налогоплательщик относится к одной или нескольким категориям, указанным в строках А, В, С;</w:t>
      </w:r>
    </w:p>
    <w:p w:rsidR="00000000" w:rsidRDefault="00AA0B4F">
      <w:pPr>
        <w:pStyle w:val="pj"/>
      </w:pPr>
      <w:r>
        <w:rPr>
          <w:rStyle w:val="s0"/>
        </w:rPr>
        <w:t xml:space="preserve">7) код валюты. </w:t>
      </w:r>
    </w:p>
    <w:p w:rsidR="00000000" w:rsidRDefault="00AA0B4F">
      <w:pPr>
        <w:pStyle w:val="pj"/>
      </w:pPr>
      <w:r>
        <w:rPr>
          <w:rStyle w:val="s0"/>
        </w:rPr>
        <w:t xml:space="preserve">Указывается код валюты в соответствии с </w:t>
      </w:r>
      <w:hyperlink r:id="rId23" w:anchor="sub_id=23" w:history="1">
        <w:r>
          <w:rPr>
            <w:rStyle w:val="a4"/>
          </w:rPr>
          <w:t>приложением 23</w:t>
        </w:r>
      </w:hyperlink>
      <w:r>
        <w:rPr>
          <w:rStyle w:val="s0"/>
        </w:rPr>
        <w:t xml:space="preserve"> «Классификатор валют», утвержденный Решением Комиссии Таможенного союза от 20 сентября 2010 года № 378 «О классификаторах, используемых для заполнения таможенных деклараций».</w:t>
      </w:r>
    </w:p>
    <w:p w:rsidR="00000000" w:rsidRDefault="00AA0B4F">
      <w:pPr>
        <w:pStyle w:val="pj"/>
      </w:pPr>
      <w:r>
        <w:rPr>
          <w:rStyle w:val="s0"/>
        </w:rPr>
        <w:t>11.В разделе «Исчисление текущих платежей по налогу на транспортны</w:t>
      </w:r>
      <w:r>
        <w:rPr>
          <w:rStyle w:val="s0"/>
        </w:rPr>
        <w:t>е средства»:</w:t>
      </w:r>
    </w:p>
    <w:p w:rsidR="00000000" w:rsidRDefault="00AA0B4F">
      <w:pPr>
        <w:pStyle w:val="pj"/>
      </w:pPr>
      <w:r>
        <w:rPr>
          <w:rStyle w:val="s0"/>
        </w:rPr>
        <w:t xml:space="preserve">в строке 701.00.001 указывается общая сумма исчисленных налогоплательщиком текущих платежей по налогу на транспортные средства, подлежащих уплате в срок, установленный </w:t>
      </w:r>
      <w:hyperlink r:id="rId24" w:anchor="sub_id=3690000" w:history="1">
        <w:r>
          <w:rPr>
            <w:rStyle w:val="a4"/>
          </w:rPr>
          <w:t>статьей 369</w:t>
        </w:r>
      </w:hyperlink>
      <w:r>
        <w:rPr>
          <w:rStyle w:val="s0"/>
        </w:rPr>
        <w:t xml:space="preserve"> Налогового кодекса.</w:t>
      </w:r>
    </w:p>
    <w:p w:rsidR="00000000" w:rsidRDefault="00AA0B4F">
      <w:pPr>
        <w:pStyle w:val="pj"/>
      </w:pPr>
      <w:r>
        <w:rPr>
          <w:rStyle w:val="s0"/>
        </w:rPr>
        <w:t>12.В разделе «Ответственность налогоплательщика»:</w:t>
      </w:r>
    </w:p>
    <w:p w:rsidR="00000000" w:rsidRDefault="00AA0B4F">
      <w:pPr>
        <w:pStyle w:val="pj"/>
      </w:pPr>
      <w:r>
        <w:rPr>
          <w:rStyle w:val="s0"/>
        </w:rPr>
        <w:t>1) в поле «Ф.И.О. налогоплательщика (руководителя)» указываются фамилия, имя, отчество (при его наличии) налогоплательщика (руководителя) в соответствии с учредител</w:t>
      </w:r>
      <w:r>
        <w:rPr>
          <w:rStyle w:val="s0"/>
        </w:rPr>
        <w:t>ьными документами;</w:t>
      </w:r>
    </w:p>
    <w:p w:rsidR="00000000" w:rsidRDefault="00AA0B4F">
      <w:pPr>
        <w:pStyle w:val="pj"/>
      </w:pPr>
      <w:r>
        <w:rPr>
          <w:rStyle w:val="s0"/>
        </w:rPr>
        <w:t>2) дата подачи Расчета.</w:t>
      </w:r>
    </w:p>
    <w:p w:rsidR="00000000" w:rsidRDefault="00AA0B4F">
      <w:pPr>
        <w:pStyle w:val="pj"/>
      </w:pPr>
      <w:r>
        <w:rPr>
          <w:rStyle w:val="s0"/>
        </w:rPr>
        <w:t>Указывается текущая дата представления Расчета в орган государственных доходов;</w:t>
      </w:r>
    </w:p>
    <w:p w:rsidR="00000000" w:rsidRDefault="00AA0B4F">
      <w:pPr>
        <w:pStyle w:val="pj"/>
      </w:pPr>
      <w:r>
        <w:rPr>
          <w:rStyle w:val="s0"/>
        </w:rPr>
        <w:t>3) код органа государственных доходов.</w:t>
      </w:r>
    </w:p>
    <w:p w:rsidR="00000000" w:rsidRDefault="00AA0B4F">
      <w:pPr>
        <w:pStyle w:val="pj"/>
      </w:pPr>
      <w:r>
        <w:rPr>
          <w:rStyle w:val="s0"/>
        </w:rPr>
        <w:t>Указывается код органа государственных доходов по месту регистрации объекта обложения;</w:t>
      </w:r>
    </w:p>
    <w:p w:rsidR="00000000" w:rsidRDefault="00AA0B4F">
      <w:pPr>
        <w:pStyle w:val="pj"/>
      </w:pPr>
      <w:r>
        <w:rPr>
          <w:rStyle w:val="s0"/>
        </w:rPr>
        <w:t>4) в по</w:t>
      </w:r>
      <w:r>
        <w:rPr>
          <w:rStyle w:val="s0"/>
        </w:rPr>
        <w:t>ле «Ф.И.О. должностного лица, принявшего Расчет» указываются фамилия, имя, отчество (при его наличии) работника органа государственных доходов, принявшего Расчет;</w:t>
      </w:r>
    </w:p>
    <w:p w:rsidR="00000000" w:rsidRDefault="00AA0B4F">
      <w:pPr>
        <w:pStyle w:val="pj"/>
      </w:pPr>
      <w:r>
        <w:rPr>
          <w:rStyle w:val="s0"/>
        </w:rPr>
        <w:t>5) дата приема Расчета.</w:t>
      </w:r>
    </w:p>
    <w:p w:rsidR="00000000" w:rsidRDefault="00AA0B4F">
      <w:pPr>
        <w:pStyle w:val="pj"/>
      </w:pPr>
      <w:r>
        <w:rPr>
          <w:rStyle w:val="s0"/>
        </w:rPr>
        <w:t xml:space="preserve">Указывается дата представления расчета в соответствии с </w:t>
      </w:r>
      <w:hyperlink r:id="rId25" w:anchor="sub_id=5840200" w:history="1">
        <w:r>
          <w:rPr>
            <w:rStyle w:val="a4"/>
          </w:rPr>
          <w:t>пунктом 2 статьи 584</w:t>
        </w:r>
      </w:hyperlink>
      <w:r>
        <w:rPr>
          <w:rStyle w:val="s0"/>
        </w:rPr>
        <w:t xml:space="preserve"> Налогового кодекса;</w:t>
      </w:r>
    </w:p>
    <w:p w:rsidR="00000000" w:rsidRDefault="00AA0B4F">
      <w:pPr>
        <w:pStyle w:val="pj"/>
      </w:pPr>
      <w:r>
        <w:rPr>
          <w:rStyle w:val="s0"/>
        </w:rPr>
        <w:t>6) входящий номер документа.</w:t>
      </w:r>
    </w:p>
    <w:p w:rsidR="00000000" w:rsidRDefault="00AA0B4F">
      <w:pPr>
        <w:pStyle w:val="pj"/>
      </w:pPr>
      <w:r>
        <w:rPr>
          <w:rStyle w:val="s0"/>
        </w:rPr>
        <w:t>Указывается регистрационный номер расчета;</w:t>
      </w:r>
    </w:p>
    <w:p w:rsidR="00000000" w:rsidRDefault="00AA0B4F">
      <w:pPr>
        <w:pStyle w:val="pj"/>
      </w:pPr>
      <w:r>
        <w:rPr>
          <w:rStyle w:val="s0"/>
        </w:rPr>
        <w:t>7) дата почтового штемпеля.</w:t>
      </w:r>
    </w:p>
    <w:p w:rsidR="00000000" w:rsidRDefault="00AA0B4F">
      <w:pPr>
        <w:pStyle w:val="pj"/>
      </w:pPr>
      <w:r>
        <w:rPr>
          <w:rStyle w:val="s0"/>
        </w:rPr>
        <w:t>Указывается дата почтового штемпеля, проста</w:t>
      </w:r>
      <w:r>
        <w:rPr>
          <w:rStyle w:val="s0"/>
        </w:rPr>
        <w:t>вленного почтовой или иной организацией связи.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4F" w:rsidRDefault="00AA0B4F" w:rsidP="00AA0B4F">
      <w:r>
        <w:separator/>
      </w:r>
    </w:p>
  </w:endnote>
  <w:endnote w:type="continuationSeparator" w:id="0">
    <w:p w:rsidR="00AA0B4F" w:rsidRDefault="00AA0B4F" w:rsidP="00AA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4F" w:rsidRDefault="00AA0B4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4F" w:rsidRDefault="00AA0B4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4F" w:rsidRDefault="00AA0B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4F" w:rsidRDefault="00AA0B4F" w:rsidP="00AA0B4F">
      <w:r>
        <w:separator/>
      </w:r>
    </w:p>
  </w:footnote>
  <w:footnote w:type="continuationSeparator" w:id="0">
    <w:p w:rsidR="00AA0B4F" w:rsidRDefault="00AA0B4F" w:rsidP="00AA0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4F" w:rsidRDefault="00AA0B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4F" w:rsidRDefault="00AA0B4F" w:rsidP="00AA0B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A0B4F" w:rsidRDefault="00AA0B4F" w:rsidP="00AA0B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составления налоговой отчетности (расчета) текущих платежей по налогу на транспортные средства (форма 701.00) (приложения 54, 55 к приказу Министра финансов Республики Казахстан от 25 декабря 2014 года № 587) (с изменениями и дополнениями по состоянию на 04.09.2017 г.) (с 1 января 2015 года по 31 декабря 2017 года) (утратили силу)</w:t>
    </w:r>
  </w:p>
  <w:p w:rsidR="00AA0B4F" w:rsidRPr="00AA0B4F" w:rsidRDefault="00AA0B4F" w:rsidP="00AA0B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01.01.2023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4F" w:rsidRDefault="00AA0B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0B4F"/>
    <w:rsid w:val="00A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A0B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0B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A0B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0B4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A0B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0B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A0B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0B4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53746" TargetMode="External"/><Relationship Id="rId13" Type="http://schemas.openxmlformats.org/officeDocument/2006/relationships/hyperlink" Target="http://online.zakon.kz/Document/?doc_id=31653746" TargetMode="External"/><Relationship Id="rId18" Type="http://schemas.openxmlformats.org/officeDocument/2006/relationships/hyperlink" Target="http://online.zakon.kz/Document/?doc_id=3036621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366217" TargetMode="External"/><Relationship Id="rId7" Type="http://schemas.openxmlformats.org/officeDocument/2006/relationships/hyperlink" Target="http://online.zakon.kz/Document/?doc_id=33456546" TargetMode="External"/><Relationship Id="rId12" Type="http://schemas.openxmlformats.org/officeDocument/2006/relationships/hyperlink" Target="http://online.zakon.kz/Document/?doc_id=31668485" TargetMode="External"/><Relationship Id="rId17" Type="http://schemas.openxmlformats.org/officeDocument/2006/relationships/hyperlink" Target="http://online.zakon.kz/Document/?doc_id=38744591" TargetMode="External"/><Relationship Id="rId25" Type="http://schemas.openxmlformats.org/officeDocument/2006/relationships/hyperlink" Target="http://online.zakon.kz/Document/?doc_id=30366217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366217" TargetMode="External"/><Relationship Id="rId20" Type="http://schemas.openxmlformats.org/officeDocument/2006/relationships/hyperlink" Target="http://online.zakon.kz/Document/?doc_id=40852290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41023183" TargetMode="External"/><Relationship Id="rId24" Type="http://schemas.openxmlformats.org/officeDocument/2006/relationships/hyperlink" Target="http://online.zakon.kz/Document/?doc_id=3036621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366217" TargetMode="External"/><Relationship Id="rId23" Type="http://schemas.openxmlformats.org/officeDocument/2006/relationships/hyperlink" Target="http://online.zakon.kz/Document/?doc_id=3081958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40852290" TargetMode="External"/><Relationship Id="rId19" Type="http://schemas.openxmlformats.org/officeDocument/2006/relationships/hyperlink" Target="http://online.zakon.kz/Document/?doc_id=30366217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154679" TargetMode="External"/><Relationship Id="rId14" Type="http://schemas.openxmlformats.org/officeDocument/2006/relationships/hyperlink" Target="http://online.zakon.kz/Document/?doc_id=31664077" TargetMode="External"/><Relationship Id="rId22" Type="http://schemas.openxmlformats.org/officeDocument/2006/relationships/hyperlink" Target="http://online.zakon.kz/Document/?doc_id=30366217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6582</Characters>
  <Application>Microsoft Office Word</Application>
  <DocSecurity>0</DocSecurity>
  <Lines>54</Lines>
  <Paragraphs>14</Paragraphs>
  <ScaleCrop>false</ScaleCrop>
  <Company>SPecialiST RePack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составления налоговой отчетности (расчета) текущих платежей по налогу на транспортные средства (форма 701.00) (приложения 54, 55 к приказу Министра финансов Республики Казахстан от 25 декабря 2014 года № 587) (с изменениями и дополнениями по состоянию на 04.09.2017 г.) (с 1 января 2015 года по 31 декабря 2017 года) (утратили силу)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2023-12-12T20:35:00Z</dcterms:created>
  <dcterms:modified xsi:type="dcterms:W3CDTF">2023-12-12T20:35:00Z</dcterms:modified>
</cp:coreProperties>
</file>