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6CBC">
      <w:pPr>
        <w:rPr>
          <w:rFonts w:eastAsia="Times New Roman"/>
          <w:color w:val="auto"/>
        </w:rPr>
      </w:pPr>
      <w:bookmarkStart w:id="0" w:name="_GoBack"/>
      <w:bookmarkEnd w:id="0"/>
      <w:r>
        <w:rPr>
          <w:rStyle w:val="s0"/>
          <w:rFonts w:eastAsia="Times New Roman"/>
          <w:b/>
          <w:bCs/>
        </w:rPr>
        <w:t>«Сақтандыру (қайта сақтандыру) ұйымының және сақтандыру тобының пруденциялық нормативтерінің және сақталуға міндетті өзге де нормалар мен лимиттердің нормативтік мәндерін және оларды есептеу әдістемесін, сақтандыру (қайта сақтандыру) ұйымдарының және сақта</w:t>
      </w:r>
      <w:r>
        <w:rPr>
          <w:rStyle w:val="s0"/>
          <w:rFonts w:eastAsia="Times New Roman"/>
          <w:b/>
          <w:bCs/>
        </w:rPr>
        <w:t>ндыру топтарының пруденциялық нормативтердің орындалуы туралы есептілігінің тізбесін, нысандарын, табыс ету мерзімдерін, Сақтандыру (қайта сақтандыру) ұйымдарының және сақтандыру топтарының пруденциялық нормативтердің орындалуы туралы есептілігін табыс ету</w:t>
      </w:r>
      <w:r>
        <w:rPr>
          <w:rStyle w:val="s0"/>
          <w:rFonts w:eastAsia="Times New Roman"/>
          <w:b/>
          <w:bCs/>
        </w:rPr>
        <w:t xml:space="preserve"> қағидаларын, сақтандыру (қайта сақтандыру) ұйымдары, сақтандыру (қайта сақтандыру) ұйымдарының немесе сақтандыру холдингтерінің еншілес ұйымдары сатып алатын заңды тұлғалардың акцияларына (жарғылық капиталдағы қатысу үлестеріне) қойылатын талаптарды, сақт</w:t>
      </w:r>
      <w:r>
        <w:rPr>
          <w:rStyle w:val="s0"/>
          <w:rFonts w:eastAsia="Times New Roman"/>
          <w:b/>
          <w:bCs/>
        </w:rPr>
        <w:t>андыр..</w:t>
      </w:r>
      <w:r>
        <w:rPr>
          <w:rStyle w:val="s0"/>
          <w:rFonts w:eastAsia="Times New Roman"/>
          <w:b/>
          <w:bCs/>
        </w:rPr>
        <w:t>.</w:t>
      </w:r>
    </w:p>
    <w:p w:rsidR="00000000" w:rsidRDefault="005B6CBC">
      <w:pPr>
        <w:ind w:firstLine="397"/>
        <w:jc w:val="both"/>
      </w:pPr>
      <w:r>
        <w:rPr>
          <w:rStyle w:val="s0"/>
          <w:b/>
          <w:bCs/>
        </w:rPr>
        <w:t> </w:t>
      </w:r>
    </w:p>
    <w:p w:rsidR="00000000" w:rsidRDefault="005B6CBC">
      <w:pPr>
        <w:ind w:firstLine="397"/>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2019 жылғы 12 ақпанда № 18294 тіркелді</w:t>
      </w:r>
    </w:p>
    <w:p w:rsidR="00000000" w:rsidRDefault="005B6CBC">
      <w:pPr>
        <w:ind w:firstLine="397"/>
        <w:jc w:val="both"/>
      </w:pPr>
      <w:r>
        <w:rPr>
          <w:rStyle w:val="s0"/>
          <w:lang w:val="kk-KZ"/>
        </w:rPr>
        <w:t> </w:t>
      </w:r>
    </w:p>
    <w:p w:rsidR="00000000" w:rsidRDefault="005B6CBC">
      <w:pPr>
        <w:ind w:firstLine="397"/>
        <w:jc w:val="both"/>
      </w:pPr>
      <w:r>
        <w:rPr>
          <w:rStyle w:val="s0"/>
          <w:lang w:val="kk-KZ"/>
        </w:rPr>
        <w:t xml:space="preserve">Жариялануы: </w:t>
      </w:r>
      <w:hyperlink r:id="rId7" w:anchor="!/doc/129124/kaz" w:history="1">
        <w:r>
          <w:rPr>
            <w:rStyle w:val="a4"/>
            <w:lang w:val="kk-KZ"/>
          </w:rPr>
          <w:t>«ҚР НҚА электрондық түрдегі эталондық бақылау банкі» АЖ 2019 ж. 22 ақпанда</w:t>
        </w:r>
      </w:hyperlink>
    </w:p>
    <w:p w:rsidR="00000000" w:rsidRDefault="005B6CBC">
      <w:pPr>
        <w:ind w:firstLine="397"/>
        <w:jc w:val="both"/>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6CBC" w:rsidRDefault="005B6CBC" w:rsidP="005B6CBC">
      <w:r>
        <w:separator/>
      </w:r>
    </w:p>
  </w:endnote>
  <w:endnote w:type="continuationSeparator" w:id="0">
    <w:p w:rsidR="005B6CBC" w:rsidRDefault="005B6CBC" w:rsidP="005B6C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CBC" w:rsidRDefault="005B6CB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CBC" w:rsidRDefault="005B6CB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CBC" w:rsidRDefault="005B6CB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6CBC" w:rsidRDefault="005B6CBC" w:rsidP="005B6CBC">
      <w:r>
        <w:separator/>
      </w:r>
    </w:p>
  </w:footnote>
  <w:footnote w:type="continuationSeparator" w:id="0">
    <w:p w:rsidR="005B6CBC" w:rsidRDefault="005B6CBC" w:rsidP="005B6C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CBC" w:rsidRDefault="005B6CB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CBC" w:rsidRDefault="005B6CBC" w:rsidP="005B6CB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B6CBC" w:rsidRPr="005B6CBC" w:rsidRDefault="005B6CBC" w:rsidP="005B6CBC">
    <w:pPr>
      <w:pStyle w:val="a6"/>
      <w:spacing w:after="100"/>
      <w:jc w:val="right"/>
      <w:rPr>
        <w:rFonts w:ascii="Arial" w:hAnsi="Arial" w:cs="Arial"/>
        <w:color w:val="808080"/>
        <w:sz w:val="20"/>
      </w:rPr>
    </w:pPr>
    <w:r>
      <w:rPr>
        <w:rFonts w:ascii="Arial" w:hAnsi="Arial" w:cs="Arial"/>
        <w:color w:val="808080"/>
        <w:sz w:val="20"/>
      </w:rPr>
      <w:t>Документ: «Сақтандыру (қайта сақтандыру) ұйымының және сақтандыру тобының пруденциялық нормативтерінің және сақталуға міндетті өзге де нормалар мен лимиттердің нормативтік мәндерін және оларды есептеу әдістемесін, сақтандыру (қайта сақтандыру) ұйымдарының және сақтандыру топтарының пруденциялық нормативтердің орындалуы туралы есептілігінің тізбесін, нысандарын, табыс ету мерзімдерін, Сақтандыру (қайта сақтандыру) ұйымдарының және сақтандыру топтарының пруденциялық нормативтердің орындалуы туралы есептілігін табыс ету қағидаларын, сақтандыру (қайта сақтандыру) ұйымдары, сақтандыру (қайта сақтандыру) ұйымдарының немесе сақтандыру холдингтерінің еншілес ұйымдары сатып алатын заңды тұлғалардың акцияларына (жарғылық капиталдағы қатысу үлестеріне) қойылатын талаптарды, сақтандыр...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CBC" w:rsidRDefault="005B6CB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6CBC"/>
    <w:rsid w:val="005B6C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B6CBC"/>
    <w:pPr>
      <w:tabs>
        <w:tab w:val="center" w:pos="4677"/>
        <w:tab w:val="right" w:pos="9355"/>
      </w:tabs>
    </w:pPr>
  </w:style>
  <w:style w:type="character" w:customStyle="1" w:styleId="a7">
    <w:name w:val="Верхний колонтитул Знак"/>
    <w:basedOn w:val="a0"/>
    <w:link w:val="a6"/>
    <w:uiPriority w:val="99"/>
    <w:rsid w:val="005B6CBC"/>
    <w:rPr>
      <w:rFonts w:eastAsiaTheme="minorEastAsia"/>
      <w:color w:val="000000"/>
      <w:sz w:val="24"/>
      <w:szCs w:val="24"/>
    </w:rPr>
  </w:style>
  <w:style w:type="paragraph" w:styleId="a8">
    <w:name w:val="footer"/>
    <w:basedOn w:val="a"/>
    <w:link w:val="a9"/>
    <w:uiPriority w:val="99"/>
    <w:unhideWhenUsed/>
    <w:rsid w:val="005B6CBC"/>
    <w:pPr>
      <w:tabs>
        <w:tab w:val="center" w:pos="4677"/>
        <w:tab w:val="right" w:pos="9355"/>
      </w:tabs>
    </w:pPr>
  </w:style>
  <w:style w:type="character" w:customStyle="1" w:styleId="a9">
    <w:name w:val="Нижний колонтитул Знак"/>
    <w:basedOn w:val="a0"/>
    <w:link w:val="a8"/>
    <w:uiPriority w:val="99"/>
    <w:rsid w:val="005B6CB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B6CBC"/>
    <w:pPr>
      <w:tabs>
        <w:tab w:val="center" w:pos="4677"/>
        <w:tab w:val="right" w:pos="9355"/>
      </w:tabs>
    </w:pPr>
  </w:style>
  <w:style w:type="character" w:customStyle="1" w:styleId="a7">
    <w:name w:val="Верхний колонтитул Знак"/>
    <w:basedOn w:val="a0"/>
    <w:link w:val="a6"/>
    <w:uiPriority w:val="99"/>
    <w:rsid w:val="005B6CBC"/>
    <w:rPr>
      <w:rFonts w:eastAsiaTheme="minorEastAsia"/>
      <w:color w:val="000000"/>
      <w:sz w:val="24"/>
      <w:szCs w:val="24"/>
    </w:rPr>
  </w:style>
  <w:style w:type="paragraph" w:styleId="a8">
    <w:name w:val="footer"/>
    <w:basedOn w:val="a"/>
    <w:link w:val="a9"/>
    <w:uiPriority w:val="99"/>
    <w:unhideWhenUsed/>
    <w:rsid w:val="005B6CBC"/>
    <w:pPr>
      <w:tabs>
        <w:tab w:val="center" w:pos="4677"/>
        <w:tab w:val="right" w:pos="9355"/>
      </w:tabs>
    </w:pPr>
  </w:style>
  <w:style w:type="character" w:customStyle="1" w:styleId="a9">
    <w:name w:val="Нижний колонтитул Знак"/>
    <w:basedOn w:val="a0"/>
    <w:link w:val="a8"/>
    <w:uiPriority w:val="99"/>
    <w:rsid w:val="005B6CB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108</Words>
  <Characters>953</Characters>
  <Application>Microsoft Office Word</Application>
  <DocSecurity>0</DocSecurity>
  <Lines>7</Lines>
  <Paragraphs>2</Paragraphs>
  <ScaleCrop>false</ScaleCrop>
  <Company>SPecialiST RePack</Company>
  <LinksUpToDate>false</LinksUpToDate>
  <CharactersWithSpaces>1059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«Сақтандыру (қайта сақтандыру) ұйымының және сақтандыру тобының пруденциялық нормативтерінің және сақталуға міндетті өзге де нормалар мен лимиттердің нормативтік мәндерін және оларды есептеу әдістемесін, сақтандыру (қайта сақтандыру) ұйымдарының және сақтандыру топтарының пруденциялық нормативтердің орындалуы туралы есептілігінің тізбесін, нысандарын, табыс ету мерзімдерін, Сақтандыру (қайта сақтандыру) ұйымдарының және сақтандыру топтарының пруденциялық нормативтердің орындалуы туралы есептілігін табыс ету қағидаларын, сақтандыру (қайта сақтандыру) ұйымдары, сақтандыру (қайта сақтандыру) ұйымдарының немесе сақтандыру холдингтерінің еншілес ұйымдары сатып алатын заңды тұлғалардың акцияларына (жарғылық капиталдағы қатысу үлестеріне) қойылатын талаптарды, сақтандыр... (©Paragraph 2023)</dc:title>
  <dc:subject/>
  <dc:creator>Сергей Мельников</dc:creator>
  <cp:keywords/>
  <dc:description/>
  <cp:lastModifiedBy>Сергей Мельников</cp:lastModifiedBy>
  <cp:revision>2</cp:revision>
  <dcterms:created xsi:type="dcterms:W3CDTF">2023-12-27T06:00:00Z</dcterms:created>
  <dcterms:modified xsi:type="dcterms:W3CDTF">2023-12-27T06:00:00Z</dcterms:modified>
</cp:coreProperties>
</file>