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4AA">
      <w:pPr>
        <w:pStyle w:val="pc"/>
      </w:pPr>
      <w:bookmarkStart w:id="0" w:name="_GoBack"/>
      <w:bookmarkEnd w:id="0"/>
      <w:r>
        <w:rPr>
          <w:rStyle w:val="s1"/>
        </w:rPr>
        <w:t>Приказ Министра энергетики Республики Казахстан от 14 декабря 2018 года № 514</w:t>
      </w:r>
      <w:r>
        <w:rPr>
          <w:rStyle w:val="s1"/>
        </w:rPr>
        <w:br/>
        <w:t>Об утверждении предельных тарифов на электрическую энергию</w:t>
      </w:r>
    </w:p>
    <w:p w:rsidR="00000000" w:rsidRDefault="00A504AA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01.11.2023 г.)</w:t>
      </w:r>
    </w:p>
    <w:p w:rsidR="00000000" w:rsidRDefault="00A504AA">
      <w:pPr>
        <w:pStyle w:val="pc"/>
      </w:pPr>
      <w:r>
        <w:t> </w:t>
      </w:r>
    </w:p>
    <w:p w:rsidR="00000000" w:rsidRDefault="00A504AA">
      <w:pPr>
        <w:pStyle w:val="pji"/>
      </w:pPr>
      <w:r>
        <w:rPr>
          <w:rStyle w:val="s3"/>
        </w:rPr>
        <w:t xml:space="preserve">Данная редакция действовала до внесения изменений от 28 декабря 2023 года </w:t>
      </w:r>
    </w:p>
    <w:p w:rsidR="00000000" w:rsidRDefault="00A504AA">
      <w:pPr>
        <w:pStyle w:val="pc"/>
      </w:pPr>
      <w:r>
        <w:t> </w:t>
      </w:r>
    </w:p>
    <w:p w:rsidR="00000000" w:rsidRDefault="00A504AA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энергетики РК от 24.06.21 г. </w:t>
      </w:r>
      <w:r>
        <w:rPr>
          <w:rStyle w:val="s3"/>
        </w:rPr>
        <w:t>№ 211 (введено в действие с 1 июля 2021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04AA">
      <w:pPr>
        <w:pStyle w:val="pj"/>
      </w:pPr>
      <w:r>
        <w:rPr>
          <w:rStyle w:val="s0"/>
        </w:rPr>
        <w:t xml:space="preserve">В соответствии с </w:t>
      </w:r>
      <w:hyperlink r:id="rId10" w:anchor="sub_id=500701" w:history="1">
        <w:r>
          <w:rPr>
            <w:rStyle w:val="a4"/>
          </w:rPr>
          <w:t>подпунктом 70-1) статьи 5</w:t>
        </w:r>
      </w:hyperlink>
      <w:r>
        <w:rPr>
          <w:rStyle w:val="s0"/>
        </w:rPr>
        <w:t xml:space="preserve"> Зако</w:t>
      </w:r>
      <w:r>
        <w:rPr>
          <w:rStyle w:val="s0"/>
        </w:rPr>
        <w:t xml:space="preserve">на Республики Казахстан «Об электроэнергетике» </w:t>
      </w:r>
      <w:r>
        <w:rPr>
          <w:rStyle w:val="s0"/>
          <w:b/>
          <w:bCs/>
        </w:rPr>
        <w:t>ПРИКАЗЫВАЮ:</w:t>
      </w:r>
    </w:p>
    <w:p w:rsidR="00000000" w:rsidRDefault="00A504AA">
      <w:pPr>
        <w:pStyle w:val="pj"/>
      </w:pPr>
      <w:r>
        <w:t xml:space="preserve">1. Утвердить прилагаемые </w:t>
      </w:r>
      <w:hyperlink w:anchor="sub1" w:history="1">
        <w:r>
          <w:rPr>
            <w:rStyle w:val="a4"/>
          </w:rPr>
          <w:t>предельные тарифы на электрическую энергию</w:t>
        </w:r>
      </w:hyperlink>
      <w:r>
        <w:t>.</w:t>
      </w:r>
    </w:p>
    <w:p w:rsidR="00000000" w:rsidRDefault="00A504AA">
      <w:pPr>
        <w:pStyle w:val="pj"/>
      </w:pPr>
      <w:r>
        <w:t>2. Департаменту реализации государственной политики в области электроэнергетики Министерства энергети</w:t>
      </w:r>
      <w:r>
        <w:t xml:space="preserve">ки Республики Казахстан в установленном законодательством Республики Казахстан порядке обеспечить: </w:t>
      </w:r>
    </w:p>
    <w:p w:rsidR="00000000" w:rsidRDefault="00A504AA">
      <w:pPr>
        <w:pStyle w:val="pj"/>
      </w:pPr>
      <w: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t xml:space="preserve"> настоящего приказа в Министерстве юстиции Республики Казахст</w:t>
      </w:r>
      <w:r>
        <w:t>ан;</w:t>
      </w:r>
    </w:p>
    <w:p w:rsidR="00000000" w:rsidRDefault="00A504AA">
      <w:pPr>
        <w:pStyle w:val="pj"/>
      </w:pPr>
      <w: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«Республиканский центр правовой инфор</w:t>
      </w:r>
      <w:r>
        <w:t>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A504AA">
      <w:pPr>
        <w:pStyle w:val="pj"/>
      </w:pPr>
      <w:r>
        <w:t>3) размещение настоящего приказа на интернет-ресурсе Министерства энергетики Республики Казахстан;</w:t>
      </w:r>
    </w:p>
    <w:p w:rsidR="00000000" w:rsidRDefault="00A504AA">
      <w:pPr>
        <w:pStyle w:val="pj"/>
      </w:pPr>
      <w:r>
        <w:t>4) в течение десяти рабочих д</w:t>
      </w:r>
      <w:r>
        <w:t>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</w:t>
      </w:r>
      <w:r>
        <w:t>и 1), 2) и 3) настоящего пункта.</w:t>
      </w:r>
    </w:p>
    <w:p w:rsidR="00000000" w:rsidRDefault="00A504AA">
      <w:pPr>
        <w:pStyle w:val="pj"/>
      </w:pPr>
      <w:r>
        <w:t>3. Контроль за исполнением настоящего приказа возложить на курирующего Вице-Министра энергетики Республики Казахстан.</w:t>
      </w:r>
    </w:p>
    <w:p w:rsidR="00000000" w:rsidRDefault="00A504AA">
      <w:pPr>
        <w:pStyle w:val="pj"/>
      </w:pPr>
      <w:r>
        <w:t xml:space="preserve">4. Настоящий приказ вводится в действие с 1 января 2019 года и подлежит официальному </w:t>
      </w:r>
      <w:hyperlink r:id="rId12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A504AA">
      <w:pPr>
        <w:pStyle w:val="pj"/>
      </w:pPr>
      <w:r>
        <w:t> </w:t>
      </w:r>
    </w:p>
    <w:p w:rsidR="00000000" w:rsidRDefault="00A504AA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jc w:val="center"/>
        </w:trPr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b/>
                <w:bCs/>
              </w:rPr>
              <w:t xml:space="preserve">Министр энергетики </w:t>
            </w:r>
          </w:p>
          <w:p w:rsidR="00000000" w:rsidRDefault="00A504AA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A504AA">
            <w:pPr>
              <w:pStyle w:val="pr"/>
            </w:pPr>
            <w:r>
              <w:rPr>
                <w:b/>
                <w:bCs/>
              </w:rPr>
              <w:t>К. Бозумбаев</w:t>
            </w:r>
          </w:p>
        </w:tc>
      </w:tr>
    </w:tbl>
    <w:p w:rsidR="00000000" w:rsidRDefault="00A504AA">
      <w:pPr>
        <w:pStyle w:val="pj"/>
      </w:pPr>
      <w:r>
        <w:t> </w:t>
      </w:r>
    </w:p>
    <w:p w:rsidR="00000000" w:rsidRDefault="00A504AA">
      <w:pPr>
        <w:pStyle w:val="pj"/>
      </w:pPr>
      <w:bookmarkStart w:id="1" w:name="SUB1"/>
      <w:bookmarkEnd w:id="1"/>
      <w:r>
        <w:t> </w:t>
      </w:r>
    </w:p>
    <w:p w:rsidR="00000000" w:rsidRDefault="00A504AA">
      <w:pPr>
        <w:pStyle w:val="pji"/>
      </w:pPr>
      <w:r>
        <w:rPr>
          <w:rStyle w:val="s3"/>
        </w:rPr>
        <w:t xml:space="preserve">Предельные тарифы изложены в редакции </w:t>
      </w:r>
      <w:hyperlink r:id="rId1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энергетики РК от 23.09.19 г. № 313 (действие было приостановлено до 1 ноября 2019 г.) (</w:t>
      </w:r>
      <w:hyperlink r:id="rId1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29.06.20 г. № 243 (введен в действие с 1 июля 2020 г.) (</w:t>
      </w:r>
      <w:hyperlink r:id="rId1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и.о. Министра энергетики РК от 09.07.20 г. № 250 (</w:t>
      </w:r>
      <w:hyperlink r:id="rId1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изложены в редакции </w:t>
      </w:r>
      <w:hyperlink r:id="rId1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</w:t>
      </w:r>
      <w:r>
        <w:rPr>
          <w:rStyle w:val="s3"/>
        </w:rPr>
        <w:t>а энергетики РК от 30.03.21 г. № 108 (</w:t>
      </w:r>
      <w:hyperlink r:id="rId20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энергетики РК от 24.06.21 г. № 211 </w:t>
      </w:r>
      <w:r>
        <w:rPr>
          <w:rStyle w:val="s3"/>
        </w:rPr>
        <w:t>(введено в действие с 1 июля 2021 г.) (</w:t>
      </w:r>
      <w:hyperlink r:id="rId2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энергетики РК от 30.10.21 г. № 332</w:t>
      </w:r>
      <w:r>
        <w:rPr>
          <w:rStyle w:val="s3"/>
        </w:rPr>
        <w:t xml:space="preserve"> (введен в действие с 1 ноября 2021 г.) (</w:t>
      </w:r>
      <w:hyperlink r:id="rId2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25.01.22 г. № 26 (</w:t>
      </w:r>
      <w:hyperlink r:id="rId2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30.06.22 г. № 226 (введен в действие с 1 июля 2022 г.) (</w:t>
      </w:r>
      <w:hyperlink r:id="rId2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26.05.23 г. № 192 (введен в действие с 1 июня 2023 г.) (</w:t>
      </w:r>
      <w:hyperlink r:id="rId30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31.10.23 г. № 384 (введен в действие с 1 ноября 2023 г.) (</w:t>
      </w:r>
      <w:hyperlink r:id="rId3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504AA">
      <w:pPr>
        <w:pStyle w:val="pr"/>
      </w:pPr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A504AA">
      <w:pPr>
        <w:pStyle w:val="pr"/>
      </w:pPr>
      <w:r>
        <w:rPr>
          <w:rStyle w:val="s0"/>
        </w:rPr>
        <w:t>Министра энергетики</w:t>
      </w:r>
    </w:p>
    <w:p w:rsidR="00000000" w:rsidRDefault="00A504AA">
      <w:pPr>
        <w:pStyle w:val="pr"/>
      </w:pPr>
      <w:r>
        <w:rPr>
          <w:rStyle w:val="s0"/>
        </w:rPr>
        <w:t>Республики Казахстан</w:t>
      </w:r>
    </w:p>
    <w:p w:rsidR="00000000" w:rsidRDefault="00A504AA">
      <w:pPr>
        <w:pStyle w:val="pr"/>
      </w:pPr>
      <w:r>
        <w:rPr>
          <w:rStyle w:val="s0"/>
        </w:rPr>
        <w:t>от 14 декабря 2018 года № 514</w:t>
      </w:r>
    </w:p>
    <w:p w:rsidR="00000000" w:rsidRDefault="00A504AA">
      <w:pPr>
        <w:pStyle w:val="pj"/>
      </w:pPr>
      <w:r>
        <w:rPr>
          <w:rStyle w:val="s0"/>
        </w:rPr>
        <w:t> </w:t>
      </w:r>
    </w:p>
    <w:p w:rsidR="00000000" w:rsidRDefault="00A504AA">
      <w:pPr>
        <w:pStyle w:val="pj"/>
      </w:pPr>
      <w:r>
        <w:rPr>
          <w:rStyle w:val="s0"/>
        </w:rPr>
        <w:t> </w:t>
      </w:r>
    </w:p>
    <w:p w:rsidR="00000000" w:rsidRDefault="00A504AA">
      <w:pPr>
        <w:pStyle w:val="pc"/>
      </w:pPr>
      <w:r>
        <w:rPr>
          <w:rStyle w:val="s1"/>
        </w:rPr>
        <w:t>Предельные тарифы на электрическую энер</w:t>
      </w:r>
      <w:r>
        <w:rPr>
          <w:rStyle w:val="s1"/>
        </w:rPr>
        <w:t>гию</w:t>
      </w:r>
    </w:p>
    <w:p w:rsidR="00000000" w:rsidRDefault="00A504AA">
      <w:pPr>
        <w:pStyle w:val="pr"/>
      </w:pPr>
      <w:r>
        <w:rPr>
          <w:rStyle w:val="s0"/>
        </w:rPr>
        <w:t>тенге/кВтч</w:t>
      </w:r>
    </w:p>
    <w:tbl>
      <w:tblPr>
        <w:tblW w:w="15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7467"/>
        <w:gridCol w:w="1011"/>
        <w:gridCol w:w="1011"/>
        <w:gridCol w:w="1011"/>
        <w:gridCol w:w="1011"/>
        <w:gridCol w:w="1011"/>
        <w:gridCol w:w="1011"/>
        <w:gridCol w:w="1011"/>
      </w:tblGrid>
      <w:tr w:rsidR="00000000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hyperlink r:id="rId33" w:history="1">
              <w:r>
                <w:rPr>
                  <w:rStyle w:val="a4"/>
                  <w:b/>
                  <w:bCs/>
                </w:rPr>
                <w:t>Группа энергопроизводящих организаций, реализующих электрическую энергию</w:t>
              </w:r>
            </w:hyperlink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Предельные тарифы на электрическую энергию по годам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504A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504A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2025 год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11,20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11,65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12,28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12,64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14,50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8,49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14,11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6,77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6,05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16,37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18,17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17-группа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14,79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16,40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19-группа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6,36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20-группа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16,20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21-группа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10,61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22-группа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23-группа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8,44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24-группа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7,28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25-группа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26-группа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14,02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27-группа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18,68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28-группа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29-группа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13,10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30-группа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31-группа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12,44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32-группа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1,46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33-группа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3,67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34-группа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3,14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35-группа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9,82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36-группа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37-группа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13,05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38-группа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15,04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39-группа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13,79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40-группа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11,58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41-группа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42-группа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14,60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43-группа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7,48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44-группа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19,25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45-группа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10,67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46-группа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16,92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47-группа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10,17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48-группа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7,59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49-группа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12,11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50-группа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504AA">
            <w:pPr>
              <w:pStyle w:val="p"/>
            </w:pPr>
            <w:r>
              <w:rPr>
                <w:rStyle w:val="s0"/>
              </w:rPr>
              <w:t>9,00</w:t>
            </w:r>
          </w:p>
        </w:tc>
      </w:tr>
    </w:tbl>
    <w:p w:rsidR="00000000" w:rsidRDefault="00A504AA">
      <w:pPr>
        <w:pStyle w:val="p"/>
      </w:pPr>
      <w:r>
        <w:t> </w:t>
      </w:r>
    </w:p>
    <w:p w:rsidR="00000000" w:rsidRDefault="00A504AA">
      <w:pPr>
        <w:pStyle w:val="pc"/>
      </w:pPr>
      <w:r>
        <w:t> 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AA" w:rsidRDefault="00A504AA" w:rsidP="00A504AA">
      <w:r>
        <w:separator/>
      </w:r>
    </w:p>
  </w:endnote>
  <w:endnote w:type="continuationSeparator" w:id="0">
    <w:p w:rsidR="00A504AA" w:rsidRDefault="00A504AA" w:rsidP="00A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AA" w:rsidRDefault="00A504AA" w:rsidP="00A504AA">
      <w:r>
        <w:separator/>
      </w:r>
    </w:p>
  </w:footnote>
  <w:footnote w:type="continuationSeparator" w:id="0">
    <w:p w:rsidR="00A504AA" w:rsidRDefault="00A504AA" w:rsidP="00A5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 w:rsidP="00A504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504AA" w:rsidRPr="00A504AA" w:rsidRDefault="00A504AA" w:rsidP="00A504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ЭНЕРГЕТИКИ РЕСПУБЛИКИ КАЗАХСТАН ОТ 14...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AA" w:rsidRDefault="00A504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504AA"/>
    <w:rsid w:val="00A5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504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04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04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04A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504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04A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04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04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20645" TargetMode="External"/><Relationship Id="rId13" Type="http://schemas.openxmlformats.org/officeDocument/2006/relationships/hyperlink" Target="http://online.zakon.kz/Document/?doc_id=38398483" TargetMode="External"/><Relationship Id="rId18" Type="http://schemas.openxmlformats.org/officeDocument/2006/relationships/hyperlink" Target="http://online.zakon.kz/Document/?doc_id=33470734" TargetMode="External"/><Relationship Id="rId26" Type="http://schemas.openxmlformats.org/officeDocument/2006/relationships/hyperlink" Target="http://online.zakon.kz/Document/?doc_id=36744943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720645" TargetMode="External"/><Relationship Id="rId34" Type="http://schemas.openxmlformats.org/officeDocument/2006/relationships/header" Target="header1.xml"/><Relationship Id="rId7" Type="http://schemas.openxmlformats.org/officeDocument/2006/relationships/hyperlink" Target="http://online.zakon.kz/Document/?doc_id=39627562" TargetMode="External"/><Relationship Id="rId12" Type="http://schemas.openxmlformats.org/officeDocument/2006/relationships/hyperlink" Target="http://online.zakon.kz/Document/?doc_id=39627562" TargetMode="External"/><Relationship Id="rId17" Type="http://schemas.openxmlformats.org/officeDocument/2006/relationships/hyperlink" Target="http://online.zakon.kz/Document/?doc_id=33717447" TargetMode="External"/><Relationship Id="rId25" Type="http://schemas.openxmlformats.org/officeDocument/2006/relationships/hyperlink" Target="http://online.zakon.kz/Document/?doc_id=32648166" TargetMode="External"/><Relationship Id="rId33" Type="http://schemas.openxmlformats.org/officeDocument/2006/relationships/hyperlink" Target="http://online.zakon.kz/Document/?doc_id=39570701" TargetMode="External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492284" TargetMode="External"/><Relationship Id="rId20" Type="http://schemas.openxmlformats.org/officeDocument/2006/relationships/hyperlink" Target="http://online.zakon.kz/Document/?doc_id=32133613" TargetMode="External"/><Relationship Id="rId29" Type="http://schemas.openxmlformats.org/officeDocument/2006/relationships/hyperlink" Target="http://online.zakon.kz/Document/?doc_id=3363336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627562" TargetMode="External"/><Relationship Id="rId24" Type="http://schemas.openxmlformats.org/officeDocument/2006/relationships/hyperlink" Target="http://online.zakon.kz/Document/?doc_id=35959251" TargetMode="External"/><Relationship Id="rId32" Type="http://schemas.openxmlformats.org/officeDocument/2006/relationships/hyperlink" Target="http://online.zakon.kz/Document/?doc_id=34311280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712791" TargetMode="External"/><Relationship Id="rId23" Type="http://schemas.openxmlformats.org/officeDocument/2006/relationships/hyperlink" Target="http://online.zakon.kz/Document/?doc_id=39153735" TargetMode="External"/><Relationship Id="rId28" Type="http://schemas.openxmlformats.org/officeDocument/2006/relationships/hyperlink" Target="http://online.zakon.kz/Document/?doc_id=33760597" TargetMode="External"/><Relationship Id="rId36" Type="http://schemas.openxmlformats.org/officeDocument/2006/relationships/footer" Target="footer1.xml"/><Relationship Id="rId10" Type="http://schemas.openxmlformats.org/officeDocument/2006/relationships/hyperlink" Target="http://online.zakon.kz/Document/?doc_id=1049314" TargetMode="External"/><Relationship Id="rId19" Type="http://schemas.openxmlformats.org/officeDocument/2006/relationships/hyperlink" Target="http://online.zakon.kz/Document/?doc_id=33197699" TargetMode="External"/><Relationship Id="rId31" Type="http://schemas.openxmlformats.org/officeDocument/2006/relationships/hyperlink" Target="http://online.zakon.kz/Document/?doc_id=37379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901158" TargetMode="External"/><Relationship Id="rId14" Type="http://schemas.openxmlformats.org/officeDocument/2006/relationships/hyperlink" Target="http://online.zakon.kz/Document/?doc_id=39653595" TargetMode="External"/><Relationship Id="rId22" Type="http://schemas.openxmlformats.org/officeDocument/2006/relationships/hyperlink" Target="http://online.zakon.kz/Document/?doc_id=33901158" TargetMode="External"/><Relationship Id="rId27" Type="http://schemas.openxmlformats.org/officeDocument/2006/relationships/hyperlink" Target="http://online.zakon.kz/Document/?doc_id=32833775" TargetMode="External"/><Relationship Id="rId30" Type="http://schemas.openxmlformats.org/officeDocument/2006/relationships/hyperlink" Target="http://online.zakon.kz/Document/?doc_id=37269033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ЭНЕРГЕТИКИ РЕСПУБЛИКИ КАЗАХСТАН ОТ 14...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2023-12-29T19:35:00Z</dcterms:created>
  <dcterms:modified xsi:type="dcterms:W3CDTF">2023-12-29T19:35:00Z</dcterms:modified>
</cp:coreProperties>
</file>