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36A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1F736A">
      <w:pPr>
        <w:pStyle w:val="pc"/>
      </w:pPr>
      <w:r>
        <w:t> </w:t>
      </w:r>
    </w:p>
    <w:p w:rsidR="00000000" w:rsidRDefault="001F736A">
      <w:pPr>
        <w:pStyle w:val="pji"/>
      </w:pPr>
      <w:r>
        <w:rPr>
          <w:rStyle w:val="s3"/>
        </w:rPr>
        <w:t>Данная редакция действовала до внесения изменений от 15 феврвля 2023 года (вступило в силу с 20 мая 2023 г.)</w:t>
      </w:r>
    </w:p>
    <w:p w:rsidR="00000000" w:rsidRDefault="001F736A">
      <w:pPr>
        <w:pStyle w:val="pc"/>
      </w:pPr>
      <w:r>
        <w:t> </w:t>
      </w:r>
    </w:p>
    <w:p w:rsidR="00000000" w:rsidRDefault="001F736A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</w:t>
      </w:r>
      <w:r>
        <w:rPr>
          <w:rStyle w:val="s0"/>
        </w:rPr>
        <w:t xml:space="preserve">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1F736A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1F736A">
      <w:pPr>
        <w:pStyle w:val="pj"/>
      </w:pPr>
      <w:bookmarkStart w:id="1" w:name="SUB200"/>
      <w:bookmarkEnd w:id="1"/>
      <w:r>
        <w:rPr>
          <w:rStyle w:val="s0"/>
        </w:rPr>
        <w:t>2. Утратил</w:t>
      </w:r>
      <w:r>
        <w:rPr>
          <w:rStyle w:val="s0"/>
        </w:rPr>
        <w:t xml:space="preserve"> силу в соответствии с </w:t>
      </w: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1F736A">
      <w:pPr>
        <w:pStyle w:val="pj"/>
      </w:pPr>
      <w:r>
        <w:rPr>
          <w:rStyle w:val="s0"/>
        </w:rPr>
        <w:t>3. Установить:</w:t>
      </w:r>
    </w:p>
    <w:p w:rsidR="00000000" w:rsidRDefault="001F736A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1F736A">
      <w:pPr>
        <w:pStyle w:val="pj"/>
      </w:pPr>
      <w:bookmarkStart w:id="2" w:name="SUB302"/>
      <w:bookmarkEnd w:id="2"/>
      <w:r>
        <w:rPr>
          <w:rStyle w:val="s0"/>
        </w:rPr>
        <w:t>3.2. Докум</w:t>
      </w:r>
      <w:r>
        <w:rPr>
          <w:rStyle w:val="s0"/>
        </w:rPr>
        <w:t>енты об оценке (подтверждении) соответствия обязательным требованиям, установленным нормативными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</w:t>
      </w:r>
      <w:r>
        <w:rPr>
          <w:rStyle w:val="s0"/>
        </w:rPr>
        <w:t>м технического регулирования Технического регламента (далее - продукция) до дня вступления в силу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</w:t>
      </w:r>
      <w:r>
        <w:rPr>
          <w:rStyle w:val="s0"/>
        </w:rPr>
        <w:t>в, срок действия которых ограничивается количественной квоты.</w:t>
      </w:r>
    </w:p>
    <w:p w:rsidR="00000000" w:rsidRDefault="001F736A">
      <w:pPr>
        <w:pStyle w:val="pj"/>
      </w:pPr>
      <w:r>
        <w:rPr>
          <w:rStyle w:val="s0"/>
        </w:rPr>
        <w:t>Указанные документы, выданные или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1F736A">
      <w:pPr>
        <w:pStyle w:val="pj"/>
      </w:pPr>
      <w:r>
        <w:rPr>
          <w:rStyle w:val="s0"/>
        </w:rPr>
        <w:t>Также данные документы могут использоваться в качес</w:t>
      </w:r>
      <w:r>
        <w:rPr>
          <w:rStyle w:val="s0"/>
        </w:rPr>
        <w:t>тве доказательственных материалов в целях проверки выполнения требований настоящего технического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1F736A">
      <w:pPr>
        <w:pStyle w:val="pj"/>
      </w:pPr>
      <w:r>
        <w:rPr>
          <w:rStyle w:val="s0"/>
        </w:rPr>
        <w:t>При распространении указан</w:t>
      </w:r>
      <w:r>
        <w:rPr>
          <w:rStyle w:val="s0"/>
        </w:rPr>
        <w:t>ных в абзаце первом настоящего пункта документов в порядке, установленном настоящим техническим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</w:t>
      </w:r>
      <w:r>
        <w:rPr>
          <w:rStyle w:val="s0"/>
        </w:rPr>
        <w:t xml:space="preserve"> случае срок действия документа, выданного на основании технического регламента, должен соответствовать сроку действия документа, действовавшего до вступления в силу настоящего технического регламента.</w:t>
      </w:r>
    </w:p>
    <w:p w:rsidR="00000000" w:rsidRDefault="001F736A">
      <w:pPr>
        <w:pStyle w:val="pj"/>
      </w:pPr>
      <w:r>
        <w:rPr>
          <w:rStyle w:val="s0"/>
        </w:rPr>
        <w:t>Со дня вступления в силу Технического регламента выдач</w:t>
      </w:r>
      <w:r>
        <w:rPr>
          <w:rStyle w:val="s0"/>
        </w:rPr>
        <w:t>а или принятие документов об оценке (подтверждении) соответствия продукции обязательным требованиям,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1F736A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подпунктами 3.2.1 и 3.2.2 в соответствии с </w:t>
      </w:r>
      <w:hyperlink r:id="rId1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(</w:t>
      </w:r>
      <w:hyperlink r:id="rId1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736A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</w:t>
      </w:r>
      <w:r>
        <w:rPr>
          <w:rStyle w:val="s0"/>
        </w:rPr>
        <w:t>ики Казахстан до окончания срока их действия, но не позднее 1 июля 2016 года;</w:t>
      </w:r>
    </w:p>
    <w:p w:rsidR="00000000" w:rsidRDefault="001F736A">
      <w:pPr>
        <w:pStyle w:val="pj"/>
      </w:pPr>
      <w:r>
        <w:rPr>
          <w:rStyle w:val="s0"/>
        </w:rPr>
        <w:t>3.2.2. Количество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</w:t>
      </w:r>
      <w:r>
        <w:rPr>
          <w:rStyle w:val="s0"/>
        </w:rPr>
        <w:t>ории N3 - 2100 штук, для категорий О3 и О4 - 2100 штук.</w:t>
      </w:r>
    </w:p>
    <w:p w:rsidR="00000000" w:rsidRDefault="001F736A">
      <w:pPr>
        <w:pStyle w:val="pji"/>
      </w:pPr>
      <w:r>
        <w:rPr>
          <w:rStyle w:val="s3"/>
        </w:rPr>
        <w:t xml:space="preserve">Пункт дополнен подпунктами 3.2.3 и 3.2.4 в соответствии с </w:t>
      </w:r>
      <w:hyperlink r:id="rId1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1F736A">
      <w:pPr>
        <w:pStyle w:val="pj"/>
      </w:pPr>
      <w:r>
        <w:rPr>
          <w:rStyle w:val="s0"/>
        </w:rPr>
        <w:t>3.2</w:t>
      </w:r>
      <w:r>
        <w:rPr>
          <w:rStyle w:val="s0"/>
        </w:rPr>
        <w:t>.3. Документы об оценке (подтверждении) соответствия обязательным требованиям, установленным законодательством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</w:t>
      </w:r>
      <w:r>
        <w:rPr>
          <w:rStyle w:val="s0"/>
        </w:rPr>
        <w:t>еское наименование «Fortuner»), производимого на территории Республики Казахстан, действительны до 28 марта 2017 года включительно;</w:t>
      </w:r>
    </w:p>
    <w:p w:rsidR="00000000" w:rsidRDefault="001F736A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</w:t>
      </w:r>
      <w:r>
        <w:rPr>
          <w:rStyle w:val="s0"/>
        </w:rPr>
        <w:t>етствии с подпунктом 3.2.3 настоящего Решения, не может превышать 1900 штук.</w:t>
      </w:r>
    </w:p>
    <w:p w:rsidR="00000000" w:rsidRDefault="001F736A">
      <w:pPr>
        <w:pStyle w:val="pji"/>
      </w:pPr>
      <w:bookmarkStart w:id="3" w:name="SUB3020500"/>
      <w:bookmarkEnd w:id="3"/>
      <w:r>
        <w:rPr>
          <w:rStyle w:val="s3"/>
        </w:rPr>
        <w:t xml:space="preserve">Пункт дополнен подпунктом 3.2.5 в соответствии с </w:t>
      </w:r>
      <w:hyperlink r:id="rId1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17.08.21 </w:t>
      </w:r>
      <w:r>
        <w:rPr>
          <w:rStyle w:val="s3"/>
        </w:rPr>
        <w:t xml:space="preserve">г. № 101; внесены изменения в соответствии с </w:t>
      </w:r>
      <w:hyperlink r:id="rId1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21.12.21 г. № 183 (</w:t>
      </w:r>
      <w:hyperlink r:id="rId19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14.06.22 г. № 92 (</w:t>
      </w:r>
      <w:hyperlink r:id="rId21" w:anchor="sub_id=3020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22" w:anchor="sub_id=32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(вступило в силу с 19 ноября 2022 г.) (</w:t>
      </w:r>
      <w:hyperlink r:id="rId23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736A">
      <w:pPr>
        <w:pStyle w:val="pj"/>
      </w:pPr>
      <w:r>
        <w:rPr>
          <w:rStyle w:val="s0"/>
        </w:rPr>
        <w:t>3.2.5. До 31 января 2024 г</w:t>
      </w:r>
      <w:r>
        <w:t>.</w:t>
      </w:r>
      <w:r>
        <w:rPr>
          <w:rStyle w:val="s0"/>
        </w:rPr>
        <w:t xml:space="preserve"> включительно допускается не оснащать устройством или системой вызова экстренных оперативных служб или дооснащать устройством или системой, соответствующими обязательным требов</w:t>
      </w:r>
      <w:r>
        <w:rPr>
          <w:rStyle w:val="s0"/>
        </w:rPr>
        <w:t xml:space="preserve">аниям, установленным нормативными правовыми актами государства - члена Евразийского экономического союза, принятыми в соответствии с абзацем вторым </w:t>
      </w:r>
      <w:hyperlink r:id="rId24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</w:t>
      </w:r>
      <w:r>
        <w:rPr>
          <w:rStyle w:val="s0"/>
        </w:rPr>
        <w:t>мента, транспортные средства (шасси) категорий M</w:t>
      </w:r>
      <w:r>
        <w:rPr>
          <w:rStyle w:val="s0"/>
          <w:vertAlign w:val="subscript"/>
        </w:rPr>
        <w:t>1</w:t>
      </w:r>
      <w:r>
        <w:rPr>
          <w:rStyle w:val="s0"/>
        </w:rPr>
        <w:t>, M</w:t>
      </w:r>
      <w:r>
        <w:rPr>
          <w:rStyle w:val="s0"/>
          <w:vertAlign w:val="subscript"/>
        </w:rPr>
        <w:t>2</w:t>
      </w:r>
      <w:r>
        <w:rPr>
          <w:rStyle w:val="s0"/>
        </w:rPr>
        <w:t>, M</w:t>
      </w:r>
      <w:r>
        <w:rPr>
          <w:rStyle w:val="s0"/>
          <w:vertAlign w:val="subscript"/>
        </w:rPr>
        <w:t>3</w:t>
      </w:r>
      <w:r>
        <w:rPr>
          <w:rStyle w:val="s0"/>
        </w:rPr>
        <w:t>, N</w:t>
      </w:r>
      <w:r>
        <w:rPr>
          <w:rStyle w:val="s0"/>
          <w:vertAlign w:val="subscript"/>
        </w:rPr>
        <w:t>1</w:t>
      </w:r>
      <w:r>
        <w:rPr>
          <w:rStyle w:val="s0"/>
        </w:rPr>
        <w:t>, N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N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</w:t>
      </w:r>
      <w:r>
        <w:rPr>
          <w:rStyle w:val="s0"/>
        </w:rPr>
        <w:t>(за исключением транспортных средств для перевозки опасных грузов и транспортных средств, специально предназначенных для перевозки детей), которые изготовлены на таможенной территории Евразийского экономического союза и в отношении которых действуют одобре</w:t>
      </w:r>
      <w:r>
        <w:rPr>
          <w:rStyle w:val="s0"/>
        </w:rPr>
        <w:t>ния типа транспортного средства (одобрения типа шасси).</w:t>
      </w:r>
    </w:p>
    <w:p w:rsidR="00000000" w:rsidRDefault="001F736A">
      <w:pPr>
        <w:pStyle w:val="pj"/>
      </w:pPr>
      <w:r>
        <w:rPr>
          <w:rStyle w:val="s0"/>
        </w:rPr>
        <w:t>Указанные в абзаце первом настоящего подпункта транспортные средства (шасси) должны быть дооснащены устройством или системой вызова экстренных оперативных служб изготовителем транспортного средства (ш</w:t>
      </w:r>
      <w:r>
        <w:rPr>
          <w:rStyle w:val="s0"/>
        </w:rPr>
        <w:t xml:space="preserve">асси) </w:t>
      </w:r>
      <w:r>
        <w:t xml:space="preserve">до </w:t>
      </w:r>
      <w:r>
        <w:rPr>
          <w:rStyle w:val="s0"/>
        </w:rPr>
        <w:t xml:space="preserve">31 декабря 2024 г. </w:t>
      </w:r>
    </w:p>
    <w:p w:rsidR="00000000" w:rsidRDefault="001F736A">
      <w:pPr>
        <w:pStyle w:val="pj"/>
      </w:pPr>
      <w:r>
        <w:rPr>
          <w:rStyle w:val="s0"/>
        </w:rPr>
        <w:t xml:space="preserve">Реализация указанных в абзаце первом настоящего подпункта транспортных средств (шасси), выпущенных в обращение с даты вступления настоящего Решения в силу </w:t>
      </w:r>
      <w:r>
        <w:t xml:space="preserve">до </w:t>
      </w:r>
      <w:r>
        <w:rPr>
          <w:rStyle w:val="s0"/>
        </w:rPr>
        <w:t>31 января 2024 г.</w:t>
      </w:r>
      <w:r>
        <w:t xml:space="preserve"> </w:t>
      </w:r>
      <w:r>
        <w:rPr>
          <w:rStyle w:val="s0"/>
        </w:rPr>
        <w:t>без устройств или систем вызова экстренных оператив</w:t>
      </w:r>
      <w:r>
        <w:rPr>
          <w:rStyle w:val="s0"/>
        </w:rPr>
        <w:t>ных служб, осуществляется при условии обязательного информирования потребителей о необходимости дооснащения транспортного средства (шасси) устройством или системой вызова экстренных оперативных служб и указания в электронном паспорте транспортного средства</w:t>
      </w:r>
      <w:r>
        <w:rPr>
          <w:rStyle w:val="s0"/>
        </w:rPr>
        <w:t xml:space="preserve"> (электронном паспорте шасси транспортного средства) соответствующей информации.</w:t>
      </w:r>
    </w:p>
    <w:p w:rsidR="00000000" w:rsidRDefault="001F736A">
      <w:pPr>
        <w:pStyle w:val="pj"/>
      </w:pPr>
      <w:r>
        <w:rPr>
          <w:rStyle w:val="s0"/>
        </w:rPr>
        <w:t>В случае недооснащения транспортных средств (шасси), произведенных на территории одного государства - члена Евразийского экономического союза и находящихся в эксплуатации на е</w:t>
      </w:r>
      <w:r>
        <w:rPr>
          <w:rStyle w:val="s0"/>
        </w:rPr>
        <w:t>го территории, устройством или системой вызова экстренных оперативных служб, соответствующими требованиям Технического регламента, на такие транспортные средства (шасси) с 31 декабря 2024 г. распространяются положения абзаца второго подпункта 3.2.6 настоящ</w:t>
      </w:r>
      <w:r>
        <w:rPr>
          <w:rStyle w:val="s0"/>
        </w:rPr>
        <w:t>его Решения.</w:t>
      </w:r>
    </w:p>
    <w:p w:rsidR="00000000" w:rsidRDefault="001F736A">
      <w:pPr>
        <w:pStyle w:val="pj"/>
      </w:pPr>
      <w:r>
        <w:rPr>
          <w:rStyle w:val="s0"/>
        </w:rPr>
        <w:t>Контроль за исполнением настоящего Решения обеспечивается уполномоченными органами государств - членов Евразийского экономического союза в соответствии с законодательством государств-членов.</w:t>
      </w:r>
    </w:p>
    <w:p w:rsidR="00000000" w:rsidRDefault="001F736A">
      <w:pPr>
        <w:pStyle w:val="pji"/>
      </w:pPr>
      <w:r>
        <w:rPr>
          <w:rStyle w:val="s3"/>
        </w:rPr>
        <w:t xml:space="preserve">Пункт дополнен подпунктом 3.2.6 в соответствии с </w:t>
      </w:r>
      <w:hyperlink r:id="rId25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05.04.22 г. № 45</w:t>
      </w:r>
    </w:p>
    <w:p w:rsidR="00000000" w:rsidRDefault="001F736A">
      <w:pPr>
        <w:pStyle w:val="pj"/>
      </w:pPr>
      <w:r>
        <w:rPr>
          <w:rStyle w:val="s0"/>
        </w:rPr>
        <w:t xml:space="preserve">3.2.6. Выпуск в обращение и нахождение в эксплуатации транспортных средств, указанных в абзаце втором </w:t>
      </w:r>
      <w:hyperlink r:id="rId26" w:anchor="sub_id=100" w:history="1">
        <w:r>
          <w:rPr>
            <w:rStyle w:val="a4"/>
          </w:rPr>
          <w:t>пункта 1 раздела I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безопасности и только на территории государства - члена Евразийского экономического союза, в котором эти транспор</w:t>
      </w:r>
      <w:r>
        <w:rPr>
          <w:rStyle w:val="s0"/>
        </w:rPr>
        <w:t>тные средства произведены, за исключением случая, указанного в абзаце втором настоящего пункта. В отношении таких транспортных средств не допускается оформление документов об оценке соответствия, предусмотренных Техническим регламентом.</w:t>
      </w:r>
    </w:p>
    <w:p w:rsidR="00000000" w:rsidRDefault="001F736A">
      <w:pPr>
        <w:pStyle w:val="pj"/>
      </w:pPr>
      <w:r>
        <w:rPr>
          <w:rStyle w:val="s0"/>
        </w:rPr>
        <w:t xml:space="preserve">Осуществление прав </w:t>
      </w:r>
      <w:r>
        <w:rPr>
          <w:rStyle w:val="s0"/>
        </w:rPr>
        <w:t>владения, пользования, распоряжения транспортными средствами, указанными в абзаце втором пункта 1 раздела I Технического регламента, не допускается на территориях государств - членов Евразийского экономического союза, за исключением территории государства-</w:t>
      </w:r>
      <w:r>
        <w:rPr>
          <w:rStyle w:val="s0"/>
        </w:rPr>
        <w:t>члена, в котором эти транспортные средства произведены, если иное не установлено законодательством других государств-членов в отношении таких транспортных средств.</w:t>
      </w:r>
    </w:p>
    <w:p w:rsidR="00000000" w:rsidRDefault="001F736A">
      <w:pPr>
        <w:pStyle w:val="pji"/>
      </w:pPr>
      <w:bookmarkStart w:id="4" w:name="SUB3020700"/>
      <w:bookmarkEnd w:id="4"/>
      <w:r>
        <w:rPr>
          <w:rStyle w:val="s3"/>
        </w:rPr>
        <w:t xml:space="preserve">3020700Пункт дополнен подпунктом 3.2.7 в соответствии с </w:t>
      </w:r>
      <w:hyperlink r:id="rId2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15.04.22 г. № 77 (распространяется на правоотношения, возникшие с 15 апреля 2022 г.); внесены изменения в соответствии с  </w:t>
      </w:r>
      <w:hyperlink r:id="rId2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(вступили в силу с 8 января 2023 г.) (</w:t>
      </w:r>
      <w:hyperlink r:id="rId29" w:anchor="sub_id=3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736A">
      <w:pPr>
        <w:pStyle w:val="pj"/>
      </w:pPr>
      <w:r>
        <w:rPr>
          <w:rStyle w:val="s0"/>
        </w:rPr>
        <w:t>3.2.7. До 1 февраля 2024 г. в Республике Армения, Республике Казахстан допускается оценка соответствия и выпуск в обращение транспортных средств категорий М и N, которые изготовлены на территории государства - члена Евразийского экономического союза или вв</w:t>
      </w:r>
      <w:r>
        <w:rPr>
          <w:rStyle w:val="s0"/>
        </w:rPr>
        <w:t xml:space="preserve">езены официальными представителями иностранных изготовителей на территорию такого государства - члена Евразийского экономического союза, без применения пунктов 113 и 114 </w:t>
      </w:r>
      <w:hyperlink r:id="rId30" w:anchor="sub_id=2113" w:history="1">
        <w:r>
          <w:rPr>
            <w:rStyle w:val="a4"/>
          </w:rPr>
          <w:t>прил</w:t>
        </w:r>
        <w:r>
          <w:rPr>
            <w:rStyle w:val="a4"/>
          </w:rPr>
          <w:t>ожения № 2</w:t>
        </w:r>
      </w:hyperlink>
      <w:r>
        <w:rPr>
          <w:rStyle w:val="s0"/>
        </w:rPr>
        <w:t xml:space="preserve"> к Техническому регламенту и пунктов 16 и 17 </w:t>
      </w:r>
      <w:hyperlink r:id="rId31" w:anchor="sub_id=316" w:history="1">
        <w:r>
          <w:rPr>
            <w:rStyle w:val="a4"/>
          </w:rPr>
          <w:t>приложения № 3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1F736A">
      <w:pPr>
        <w:pStyle w:val="pj"/>
      </w:pPr>
      <w:r>
        <w:rPr>
          <w:rStyle w:val="s0"/>
        </w:rPr>
        <w:t>До 1 февраля 2024 г. в Республике Беларусь, Кыргызской Республике и Российской</w:t>
      </w:r>
      <w:r>
        <w:rPr>
          <w:rStyle w:val="s0"/>
        </w:rPr>
        <w:t xml:space="preserve"> Федерации особенности проведения оценки соответствия выпускаемых в обращение транспортных средств без применения требований в отношении оснащения транспортных средств системами (устройствами) вызова экстренных оперативных служб устанавливаются в соответст</w:t>
      </w:r>
      <w:r>
        <w:rPr>
          <w:rStyle w:val="s0"/>
        </w:rPr>
        <w:t>вии с нормативными правовыми актами Правительства Республики Беларусь, Кабинета Министров Кыргызской Республики или Правительства Российской Федерации соответственно.</w:t>
      </w:r>
    </w:p>
    <w:p w:rsidR="00000000" w:rsidRDefault="001F736A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</w:t>
      </w:r>
      <w:r>
        <w:rPr>
          <w:rStyle w:val="s0"/>
        </w:rPr>
        <w:t>ми в абзацах первом и втором настоящего пункта, не допускается на территориях государств - членов Евразийского экономического союза, за исключением территории государства - члена Евразийского экономического союза, в котором эти транспортные средства произв</w:t>
      </w:r>
      <w:r>
        <w:rPr>
          <w:rStyle w:val="s0"/>
        </w:rPr>
        <w:t>едены или на территорию которого они ввезены официальными представителями иностранных изготовителей, если иное не установлено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1F736A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3.2.8 в соответствии с </w:t>
      </w:r>
      <w:hyperlink r:id="rId3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105; внесены изменения в соответствии с </w:t>
      </w:r>
      <w:hyperlink r:id="rId3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15.02.23 г. № 20 (вступило в силу с 10 марта 2023 г.) (</w:t>
      </w:r>
      <w:hyperlink r:id="rId34" w:anchor="sub_id=3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736A">
      <w:pPr>
        <w:pStyle w:val="pj"/>
      </w:pPr>
      <w:r>
        <w:rPr>
          <w:rStyle w:val="s0"/>
        </w:rPr>
        <w:t>3.2.8. До 1 февраля 2024 г. в Республике Армения, Республике Беларусь, Республике Казахстан и Кыргызской Республике допускается оценка соответствия и выпуск в обращение единичных транспортных средств категорий M и N, ввозимых для собственных нужд на террит</w:t>
      </w:r>
      <w:r>
        <w:rPr>
          <w:rStyle w:val="s0"/>
        </w:rPr>
        <w:t xml:space="preserve">ории этих государств, без применения положений раздела 5 </w:t>
      </w:r>
      <w:hyperlink r:id="rId35" w:anchor="sub_id=405" w:history="1">
        <w:r>
          <w:rPr>
            <w:rStyle w:val="a4"/>
          </w:rPr>
          <w:t>приложения № 4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1F736A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</w:t>
      </w:r>
      <w:r>
        <w:rPr>
          <w:rStyle w:val="s0"/>
        </w:rPr>
        <w:t>ами, указанными в абзаце первом настоящего подпункта, не допускается на территориях других государств - членов Евразийского экономического союза, если иное не установлено законодательством соответствующих государств - членов Евразийского экономического сою</w:t>
      </w:r>
      <w:r>
        <w:rPr>
          <w:rStyle w:val="s0"/>
        </w:rPr>
        <w:t>за в отношении таких транспортных средств.</w:t>
      </w:r>
    </w:p>
    <w:p w:rsidR="00000000" w:rsidRDefault="001F736A">
      <w:pPr>
        <w:pStyle w:val="pji"/>
      </w:pPr>
      <w:r>
        <w:rPr>
          <w:rStyle w:val="s3"/>
        </w:rPr>
        <w:t xml:space="preserve">Пункт дополнен подпунктом 3.2.9 в соответствии с </w:t>
      </w:r>
      <w:hyperlink r:id="rId3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19.08.22 г. № 120 (распространяется на правоо</w:t>
      </w:r>
      <w:r>
        <w:rPr>
          <w:rStyle w:val="s3"/>
        </w:rPr>
        <w:t>тношения, возникшие с 1 апреля 2022 г.)</w:t>
      </w:r>
    </w:p>
    <w:p w:rsidR="00000000" w:rsidRDefault="001F736A">
      <w:pPr>
        <w:pStyle w:val="pj"/>
      </w:pPr>
      <w:r>
        <w:rPr>
          <w:rStyle w:val="s0"/>
        </w:rPr>
        <w:t xml:space="preserve">3.2.9. Выпуск в обращение и нахождение в эксплуатации транспортных средств, указанных в абзаце третьем </w:t>
      </w:r>
      <w:hyperlink r:id="rId37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</w:t>
      </w:r>
      <w:r>
        <w:rPr>
          <w:rStyle w:val="s0"/>
        </w:rPr>
        <w:t>, допускаются при условии обеспечения их безопасности и только на территории того государства, куда были ввезены такие транспортные средства (на территории Республики Армения или на территории Республики Беларусь). В отношении таких транспортных средств не</w:t>
      </w:r>
      <w:r>
        <w:rPr>
          <w:rStyle w:val="s0"/>
        </w:rPr>
        <w:t xml:space="preserve"> допускается оформление документов об оценке соответствия, предусмотренных Техническим регламентом.</w:t>
      </w:r>
    </w:p>
    <w:p w:rsidR="00000000" w:rsidRDefault="001F736A">
      <w:pPr>
        <w:pStyle w:val="pj"/>
      </w:pPr>
      <w:r>
        <w:rPr>
          <w:rStyle w:val="s0"/>
        </w:rPr>
        <w:t xml:space="preserve">Осуществление прав владения, пользования, распоряжения транспортными средствами, указанными в абзаце третьем </w:t>
      </w:r>
      <w:hyperlink r:id="rId38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Технического регламента, не допускается на территориях государств - членов Евразийского экономического союза, за исключением территории Республики Армения или территории Республики Беларусь соответственно, если ин</w:t>
      </w:r>
      <w:r>
        <w:rPr>
          <w:rStyle w:val="s0"/>
        </w:rPr>
        <w:t>ое не установлено законодательством других государств-членов в отношении таких транспортных средств.</w:t>
      </w:r>
    </w:p>
    <w:p w:rsidR="00000000" w:rsidRDefault="001F736A">
      <w:pPr>
        <w:pStyle w:val="pji"/>
      </w:pPr>
      <w:r>
        <w:rPr>
          <w:rStyle w:val="s3"/>
        </w:rPr>
        <w:t xml:space="preserve">Пункт дополнен подпунктом 3.2.11 в соответствии с </w:t>
      </w:r>
      <w:hyperlink r:id="rId39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</w:t>
      </w:r>
      <w:r>
        <w:rPr>
          <w:rStyle w:val="s3"/>
        </w:rPr>
        <w:t>й комиссии от 21.04.23 г. № 34 (вступило в силу с 1 мая 2023 г.) )</w:t>
      </w:r>
    </w:p>
    <w:p w:rsidR="00000000" w:rsidRDefault="001F736A">
      <w:pPr>
        <w:pStyle w:val="pj"/>
      </w:pPr>
      <w:r>
        <w:rPr>
          <w:rStyle w:val="s0"/>
        </w:rPr>
        <w:t xml:space="preserve">3.2.11. Выпуск в обращение и нахождение в эксплуатации транспортных средств, указанных в абзаце пятом </w:t>
      </w:r>
      <w:hyperlink r:id="rId40" w:anchor="sub_id=100" w:history="1">
        <w:r>
          <w:rPr>
            <w:rStyle w:val="a4"/>
          </w:rPr>
          <w:t>пункта</w:t>
        </w:r>
        <w:r>
          <w:rPr>
            <w:rStyle w:val="a4"/>
          </w:rPr>
          <w:t xml:space="preserve"> 1</w:t>
        </w:r>
      </w:hyperlink>
      <w:r>
        <w:rPr>
          <w:rStyle w:val="s0"/>
        </w:rPr>
        <w:t xml:space="preserve"> раздела I Технического регламента, допускается при условии обеспечения их безопасности и только на территории Республики Казахстан.</w:t>
      </w:r>
    </w:p>
    <w:p w:rsidR="00000000" w:rsidRDefault="001F736A">
      <w:pPr>
        <w:pStyle w:val="pj"/>
      </w:pPr>
      <w:r>
        <w:rPr>
          <w:rStyle w:val="s0"/>
        </w:rPr>
        <w:t>В отношении таких транспортных средств не допускается оформление документов об оценке соответствия, предусмотренных Техни</w:t>
      </w:r>
      <w:r>
        <w:rPr>
          <w:rStyle w:val="s0"/>
        </w:rPr>
        <w:t>ческим регламентом.</w:t>
      </w:r>
    </w:p>
    <w:p w:rsidR="00000000" w:rsidRDefault="001F736A">
      <w:pPr>
        <w:pStyle w:val="pj"/>
      </w:pPr>
      <w:r>
        <w:rPr>
          <w:rStyle w:val="s0"/>
        </w:rPr>
        <w:t xml:space="preserve">Осуществление прав владения, пользования, распоряжения транспортными средствами, указанными в абзаце пятом пункта 1 раздела I Технического регламента, не допускается на территориях государств - членов Евразийского экономического союза, </w:t>
      </w:r>
      <w:r>
        <w:rPr>
          <w:rStyle w:val="s0"/>
        </w:rPr>
        <w:t>за исключением Республики Казахстан.</w:t>
      </w:r>
    </w:p>
    <w:p w:rsidR="00000000" w:rsidRDefault="001F736A">
      <w:pPr>
        <w:pStyle w:val="pj"/>
      </w:pPr>
      <w:r>
        <w:rPr>
          <w:rStyle w:val="s0"/>
        </w:rPr>
        <w:t>3.3. До 1 июля 2016 года допускается производство и выпуск в обращение продукции в соответствии с обязательными требованиями, ранее установленными нормативными правовыми актами Таможенного союза или законодательством го</w:t>
      </w:r>
      <w:r>
        <w:rPr>
          <w:rStyle w:val="s0"/>
        </w:rPr>
        <w:t>сударства - члена Таможенного союза, при наличии документов об оценке (подтверждении) соответствия продукции указанным обязательным требованиям, выданных или принятых до дня вступления в силу Технического регламента.</w:t>
      </w:r>
    </w:p>
    <w:p w:rsidR="00000000" w:rsidRDefault="001F736A">
      <w:pPr>
        <w:pStyle w:val="pj"/>
      </w:pPr>
      <w:r>
        <w:rPr>
          <w:rStyle w:val="s0"/>
        </w:rPr>
        <w:t>Указанная продукция маркируется национа</w:t>
      </w:r>
      <w:r>
        <w:rPr>
          <w:rStyle w:val="s0"/>
        </w:rPr>
        <w:t xml:space="preserve">льным знаком соответствия (знаком обращения на рынке) в соответствии с законодательством государств - членов Таможенного союза или с </w:t>
      </w:r>
      <w:hyperlink r:id="rId4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1F736A">
      <w:pPr>
        <w:pStyle w:val="pj"/>
      </w:pPr>
      <w:r>
        <w:rPr>
          <w:rStyle w:val="s0"/>
        </w:rPr>
        <w:t>Маркиров</w:t>
      </w:r>
      <w:r>
        <w:rPr>
          <w:rStyle w:val="s0"/>
        </w:rPr>
        <w:t>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1F736A">
      <w:pPr>
        <w:pStyle w:val="pj"/>
      </w:pPr>
      <w:r>
        <w:rPr>
          <w:rStyle w:val="s0"/>
        </w:rP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4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установленного в соответствии с законодательством государства - члена Таможенного союза.</w:t>
      </w:r>
    </w:p>
    <w:p w:rsidR="00000000" w:rsidRDefault="001F736A">
      <w:pPr>
        <w:pStyle w:val="pji"/>
      </w:pPr>
      <w:r>
        <w:rPr>
          <w:rStyle w:val="s3"/>
        </w:rPr>
        <w:t xml:space="preserve">Пункт дополнен подпунктом 3.5 в соответствии с </w:t>
      </w:r>
      <w:hyperlink r:id="rId4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103</w:t>
      </w:r>
    </w:p>
    <w:p w:rsidR="00000000" w:rsidRDefault="001F736A">
      <w:pPr>
        <w:pStyle w:val="pj"/>
      </w:pPr>
      <w:r>
        <w:rPr>
          <w:rStyle w:val="s0"/>
        </w:rPr>
        <w:t xml:space="preserve">3.5. В случае наступления в 2022 году срока проведения планового контроля, предусмотренного </w:t>
      </w:r>
      <w:hyperlink r:id="rId43" w:anchor="sub_id=4600" w:history="1">
        <w:r>
          <w:rPr>
            <w:rStyle w:val="a4"/>
          </w:rPr>
          <w:t>пунктами 46 и 47</w:t>
        </w:r>
      </w:hyperlink>
      <w:r>
        <w:rPr>
          <w:rStyle w:val="s0"/>
        </w:rPr>
        <w:t xml:space="preserve"> Технического регламента, по заявлению заявителя орган по сертификации вправе принять решение о переносе проведения такого контроля на срок до 12 месяцев при </w:t>
      </w:r>
      <w:r>
        <w:rPr>
          <w:rStyle w:val="s0"/>
        </w:rPr>
        <w:t>наличии подтверждения неизменности технологического процесса производства сертифицированной продукции и технической документации на продукцию.</w:t>
      </w:r>
    </w:p>
    <w:p w:rsidR="00000000" w:rsidRDefault="001F736A">
      <w:pPr>
        <w:pStyle w:val="pji"/>
      </w:pPr>
      <w:r>
        <w:rPr>
          <w:rStyle w:val="s3"/>
        </w:rPr>
        <w:t xml:space="preserve">Пункт дополнен подпунктом 3.6 в соответствии с </w:t>
      </w:r>
      <w:hyperlink r:id="rId44" w:history="1">
        <w:r>
          <w:rPr>
            <w:rStyle w:val="a4"/>
            <w:i/>
            <w:iCs/>
          </w:rPr>
          <w:t>Р</w:t>
        </w:r>
        <w:r>
          <w:rPr>
            <w:rStyle w:val="a4"/>
            <w:i/>
            <w:iCs/>
          </w:rPr>
          <w:t>ешением</w:t>
        </w:r>
      </w:hyperlink>
      <w:r>
        <w:rPr>
          <w:rStyle w:val="s3"/>
        </w:rPr>
        <w:t xml:space="preserve"> Совета Евразийской экономической комиссии от 19.08.22 г. № 132 (распространяется на правоотношения, возникшие с 1 марта 2022 г.)</w:t>
      </w:r>
    </w:p>
    <w:p w:rsidR="00000000" w:rsidRDefault="001F736A">
      <w:pPr>
        <w:pStyle w:val="pj"/>
      </w:pPr>
      <w:r>
        <w:rPr>
          <w:rStyle w:val="s0"/>
        </w:rPr>
        <w:t>3.6. До 31 декабря 2024 г.:</w:t>
      </w:r>
    </w:p>
    <w:p w:rsidR="00000000" w:rsidRDefault="001F736A">
      <w:pPr>
        <w:pStyle w:val="pj"/>
      </w:pPr>
      <w:r>
        <w:rPr>
          <w:rStyle w:val="s0"/>
        </w:rPr>
        <w:t>3.6.1. </w:t>
      </w:r>
      <w:hyperlink r:id="rId45" w:anchor="sub_id=2500" w:history="1">
        <w:r>
          <w:rPr>
            <w:rStyle w:val="a4"/>
          </w:rPr>
          <w:t>Пу</w:t>
        </w:r>
        <w:r>
          <w:rPr>
            <w:rStyle w:val="a4"/>
          </w:rPr>
          <w:t>нкт 25</w:t>
        </w:r>
      </w:hyperlink>
      <w:r>
        <w:rPr>
          <w:rStyle w:val="s0"/>
        </w:rPr>
        <w:t xml:space="preserve"> Технического регламента применяется с учетом того, что уполномоченные представители иностранного изготовителя вправе быть заявителями при проведении одобрения типа транспортного средства (одобрения типа шасси), распространении или продлении его дейс</w:t>
      </w:r>
      <w:r>
        <w:rPr>
          <w:rStyle w:val="s0"/>
        </w:rPr>
        <w:t>твия.</w:t>
      </w:r>
    </w:p>
    <w:p w:rsidR="00000000" w:rsidRDefault="001F736A">
      <w:pPr>
        <w:pStyle w:val="pj"/>
      </w:pPr>
      <w:r>
        <w:rPr>
          <w:rStyle w:val="s0"/>
        </w:rPr>
        <w:t>3.6.2. </w:t>
      </w:r>
      <w:hyperlink r:id="rId46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Технического регламента не применяется.</w:t>
      </w:r>
    </w:p>
    <w:p w:rsidR="00000000" w:rsidRDefault="001F736A">
      <w:pPr>
        <w:pStyle w:val="pji"/>
      </w:pPr>
      <w:r>
        <w:rPr>
          <w:rStyle w:val="s3"/>
        </w:rPr>
        <w:t xml:space="preserve">Пункт дополнен подпунктом 3.7 в соответствии с </w:t>
      </w:r>
      <w:hyperlink r:id="rId47" w:anchor="sub_id=3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23.09.22 г. № 161 (вступило в силу с 19 ноября 2022 г.)</w:t>
      </w:r>
    </w:p>
    <w:p w:rsidR="00000000" w:rsidRDefault="001F736A">
      <w:pPr>
        <w:pStyle w:val="pj"/>
      </w:pPr>
      <w:r>
        <w:rPr>
          <w:rStyle w:val="s0"/>
        </w:rPr>
        <w:t>3.7. Информация о государстве - члене Евразийского экономического союза, на территории которого допускается осуществление прав влад</w:t>
      </w:r>
      <w:r>
        <w:rPr>
          <w:rStyle w:val="s0"/>
        </w:rPr>
        <w:t xml:space="preserve">ения, пользования и распоряжения транспортными средствами, указанными в абзаце четвертом </w:t>
      </w:r>
      <w:hyperlink w:anchor="sub3020500" w:history="1">
        <w:r>
          <w:rPr>
            <w:rStyle w:val="a4"/>
          </w:rPr>
          <w:t>подпункта 3.2.5</w:t>
        </w:r>
      </w:hyperlink>
      <w:r>
        <w:rPr>
          <w:rStyle w:val="s0"/>
        </w:rPr>
        <w:t xml:space="preserve"> и </w:t>
      </w:r>
      <w:hyperlink w:anchor="sub3020700" w:history="1">
        <w:r>
          <w:rPr>
            <w:rStyle w:val="a4"/>
          </w:rPr>
          <w:t>подпунктах 3.2.7 и 3.2.8</w:t>
        </w:r>
      </w:hyperlink>
      <w:r>
        <w:rPr>
          <w:rStyle w:val="s0"/>
        </w:rPr>
        <w:t xml:space="preserve"> настоящего Решения, указывается в электронном паспорте так</w:t>
      </w:r>
      <w:r>
        <w:rPr>
          <w:rStyle w:val="s0"/>
        </w:rPr>
        <w:t>ого транспортного средства.</w:t>
      </w:r>
    </w:p>
    <w:p w:rsidR="00000000" w:rsidRDefault="001F736A">
      <w:pPr>
        <w:pStyle w:val="pj"/>
      </w:pPr>
      <w:r>
        <w:rPr>
          <w:rStyle w:val="s0"/>
        </w:rPr>
        <w:t>В случае дооснащения таких транспортных средств устройством или системой вызова экстренных оперативных служб, соответствующими требованиям Технического регламента, информация, указанная в абзаце первом настоящего подпункта, искл</w:t>
      </w:r>
      <w:r>
        <w:rPr>
          <w:rStyle w:val="s0"/>
        </w:rPr>
        <w:t>ючается из электронного паспорта транспортного средства.</w:t>
      </w:r>
    </w:p>
    <w:p w:rsidR="00000000" w:rsidRDefault="001F736A">
      <w:pPr>
        <w:pStyle w:val="pj"/>
      </w:pPr>
      <w:r>
        <w:rPr>
          <w:rStyle w:val="s0"/>
        </w:rPr>
        <w:t>4. Секретариату Комиссии совместно со Сторонами подготовить проект Плана мероприятий, необходимых для реализации Технического регламента, и в трехмесячный срок со дня вступления в силу настоящего Реш</w:t>
      </w:r>
      <w:r>
        <w:rPr>
          <w:rStyle w:val="s0"/>
        </w:rPr>
        <w:t>ения обеспечить представление его на утверждение Комиссии в установленном порядке.</w:t>
      </w:r>
    </w:p>
    <w:p w:rsidR="00000000" w:rsidRDefault="001F736A">
      <w:pPr>
        <w:pStyle w:val="pj"/>
      </w:pPr>
      <w:r>
        <w:rPr>
          <w:rStyle w:val="s0"/>
        </w:rPr>
        <w:t>5. Российской Стороне:</w:t>
      </w:r>
    </w:p>
    <w:p w:rsidR="00000000" w:rsidRDefault="001F736A">
      <w:pPr>
        <w:pStyle w:val="pj"/>
      </w:pPr>
      <w:r>
        <w:rPr>
          <w:rStyle w:val="s0"/>
        </w:rPr>
        <w:t>5.1. Не реже одного раза в три года подготавливать предложения по внесению изменений в Технический регламент для его актуализации, связанной с выполне</w:t>
      </w:r>
      <w:r>
        <w:rPr>
          <w:rStyle w:val="s0"/>
        </w:rPr>
        <w:t>нием Сторонами обязательств по участию в международных соглашениях по согласованию требований безопасности в отношении транспортных средств.</w:t>
      </w:r>
    </w:p>
    <w:p w:rsidR="00000000" w:rsidRDefault="001F736A">
      <w:pPr>
        <w:pStyle w:val="pj"/>
      </w:pPr>
      <w:r>
        <w:rPr>
          <w:rStyle w:val="s0"/>
        </w:rPr>
        <w:t xml:space="preserve">5.2. Не реже одного раза в год обеспечивать актуализацию Перечней стандартов, указанных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стандартов, содержащихся в Перечнях, а также предложений органов Сторон.</w:t>
      </w:r>
    </w:p>
    <w:p w:rsidR="00000000" w:rsidRDefault="001F736A">
      <w:pPr>
        <w:pStyle w:val="pj"/>
      </w:pPr>
      <w:r>
        <w:rPr>
          <w:rStyle w:val="s0"/>
        </w:rPr>
        <w:t>5.3. С учетом предложений Сторон разработать и в установленном порядке внести на рассмотрение Комисс</w:t>
      </w:r>
      <w:r>
        <w:rPr>
          <w:rStyle w:val="s0"/>
        </w:rPr>
        <w:t>ии проект программы по разработке (внесению изменений, пересмотру) межгосударственных стандартов.</w:t>
      </w:r>
    </w:p>
    <w:p w:rsidR="00000000" w:rsidRDefault="001F736A">
      <w:pPr>
        <w:pStyle w:val="pj"/>
      </w:pPr>
      <w:r>
        <w:rPr>
          <w:rStyle w:val="s0"/>
        </w:rPr>
        <w:t>5.4. В срок до 31 декабря 2012 года разработать и представить в Комиссию для утверждения Правила заполнения бланков одобрений типа транспортного средства, одо</w:t>
      </w:r>
      <w:r>
        <w:rPr>
          <w:rStyle w:val="s0"/>
        </w:rPr>
        <w:t>брений типа шасси, уведомлений об отмене документа, удостоверяющего соответствие Техническому регламенту, свидетельств о безопасности конструкции транспортного средства и свидетельств о соответствии транспортного средства с внесенными в его конструкцию изм</w:t>
      </w:r>
      <w:r>
        <w:rPr>
          <w:rStyle w:val="s0"/>
        </w:rPr>
        <w:t>енениями требованиям безопасности, содержащих, в том числе, требования к структуре номеров и формы бланков указанных документов.</w:t>
      </w:r>
    </w:p>
    <w:p w:rsidR="00000000" w:rsidRDefault="001F736A">
      <w:pPr>
        <w:pStyle w:val="pj"/>
      </w:pPr>
      <w:r>
        <w:rPr>
          <w:rStyle w:val="s0"/>
        </w:rPr>
        <w:t>5.5. В трехмесячный срок со дня вступления в силу настоящего Решения разработать проект изменений в Технический регламент в цел</w:t>
      </w:r>
      <w:r>
        <w:rPr>
          <w:rStyle w:val="s0"/>
        </w:rPr>
        <w:t>ях установления требований к санитарному транспорту и представить его в Секретариат Комиссии в установленном порядке.</w:t>
      </w:r>
    </w:p>
    <w:p w:rsidR="00000000" w:rsidRDefault="001F736A">
      <w:pPr>
        <w:pStyle w:val="pj"/>
      </w:pPr>
      <w:r>
        <w:rPr>
          <w:rStyle w:val="s0"/>
        </w:rPr>
        <w:t>6. Сторонам:</w:t>
      </w:r>
    </w:p>
    <w:p w:rsidR="00000000" w:rsidRDefault="001F736A">
      <w:pPr>
        <w:pStyle w:val="pj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</w:t>
      </w:r>
      <w:r>
        <w:rPr>
          <w:rStyle w:val="s0"/>
        </w:rPr>
        <w:t xml:space="preserve"> осуществление государственного контроля (надзора) за соблюдением требований Технического регламента, и информировать об этом Комиссию;</w:t>
      </w:r>
    </w:p>
    <w:p w:rsidR="00000000" w:rsidRDefault="001F736A">
      <w:pPr>
        <w:pStyle w:val="pj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1F736A">
      <w:pPr>
        <w:pStyle w:val="pj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1F736A">
      <w:pPr>
        <w:pStyle w:val="a3"/>
      </w:pPr>
      <w:r>
        <w:rPr>
          <w:rStyle w:val="s0"/>
        </w:rPr>
        <w:t> </w:t>
      </w:r>
    </w:p>
    <w:p w:rsidR="00000000" w:rsidRDefault="001F736A">
      <w:pPr>
        <w:pStyle w:val="a3"/>
      </w:pPr>
      <w:r>
        <w:rPr>
          <w:rStyle w:val="s0"/>
        </w:rPr>
        <w:t> </w:t>
      </w:r>
    </w:p>
    <w:p w:rsidR="00000000" w:rsidRDefault="001F736A">
      <w:pPr>
        <w:pStyle w:val="pc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1F736A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36A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1F736A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36A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1F736A">
            <w:pPr>
              <w:pStyle w:val="pc"/>
            </w:pPr>
            <w:r>
              <w:rPr>
                <w:rStyle w:val="s0"/>
                <w:b/>
                <w:bCs/>
              </w:rPr>
              <w:t>Казахст</w:t>
            </w:r>
            <w:r>
              <w:rPr>
                <w:rStyle w:val="s0"/>
                <w:b/>
                <w:bCs/>
              </w:rPr>
              <w:t>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36A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1F736A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36A">
            <w:pPr>
              <w:pStyle w:val="pc"/>
            </w:pPr>
            <w:r>
              <w:t> </w:t>
            </w:r>
          </w:p>
          <w:p w:rsidR="00000000" w:rsidRDefault="001F736A">
            <w:pPr>
              <w:pStyle w:val="pc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36A">
            <w:pPr>
              <w:pStyle w:val="pc"/>
            </w:pPr>
            <w:r>
              <w:t> </w:t>
            </w:r>
          </w:p>
          <w:p w:rsidR="00000000" w:rsidRDefault="001F736A">
            <w:pPr>
              <w:pStyle w:val="pc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736A">
            <w:pPr>
              <w:pStyle w:val="pc"/>
            </w:pPr>
            <w:r>
              <w:t> </w:t>
            </w:r>
          </w:p>
          <w:p w:rsidR="00000000" w:rsidRDefault="001F736A">
            <w:pPr>
              <w:pStyle w:val="pc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1F736A">
      <w:pPr>
        <w:pStyle w:val="a3"/>
      </w:pPr>
      <w:r>
        <w:t> </w:t>
      </w:r>
    </w:p>
    <w:p w:rsidR="00000000" w:rsidRDefault="001F736A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4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5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736A">
      <w:pPr>
        <w:pStyle w:val="pc"/>
      </w:pPr>
      <w:r>
        <w:t> </w:t>
      </w:r>
    </w:p>
    <w:p w:rsidR="00000000" w:rsidRDefault="001F736A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5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</w:t>
      </w:r>
      <w:r>
        <w:rPr>
          <w:rStyle w:val="s0"/>
        </w:rPr>
        <w:t xml:space="preserve"> 25.12.18 г. № 219 </w:t>
      </w:r>
      <w:r>
        <w:rPr>
          <w:rStyle w:val="s3"/>
        </w:rPr>
        <w:t>(</w:t>
      </w:r>
      <w:hyperlink r:id="rId5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736A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1F736A">
      <w:pPr>
        <w:pStyle w:val="pc"/>
      </w:pPr>
      <w:r>
        <w:t> </w:t>
      </w:r>
    </w:p>
    <w:p w:rsidR="00000000" w:rsidRDefault="001F736A">
      <w:pPr>
        <w:pStyle w:val="pc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36A" w:rsidRDefault="001F736A" w:rsidP="001F736A">
      <w:r>
        <w:separator/>
      </w:r>
    </w:p>
  </w:endnote>
  <w:endnote w:type="continuationSeparator" w:id="0">
    <w:p w:rsidR="001F736A" w:rsidRDefault="001F736A" w:rsidP="001F7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36A" w:rsidRDefault="001F73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36A" w:rsidRDefault="001F73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36A" w:rsidRDefault="001F73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36A" w:rsidRDefault="001F736A" w:rsidP="001F736A">
      <w:r>
        <w:separator/>
      </w:r>
    </w:p>
  </w:footnote>
  <w:footnote w:type="continuationSeparator" w:id="0">
    <w:p w:rsidR="001F736A" w:rsidRDefault="001F736A" w:rsidP="001F73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36A" w:rsidRDefault="001F73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36A" w:rsidRDefault="001F736A" w:rsidP="001F73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36A" w:rsidRPr="001F736A" w:rsidRDefault="001F736A" w:rsidP="001F73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36A" w:rsidRDefault="001F73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36A"/>
    <w:rsid w:val="001F7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73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73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73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73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73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73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73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73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810650" TargetMode="External"/><Relationship Id="rId26" Type="http://schemas.openxmlformats.org/officeDocument/2006/relationships/hyperlink" Target="http://online.zakon.kz/Document/?doc_id=31121659" TargetMode="External"/><Relationship Id="rId39" Type="http://schemas.openxmlformats.org/officeDocument/2006/relationships/hyperlink" Target="http://online.zakon.kz/Document/?doc_id=37430139" TargetMode="External"/><Relationship Id="rId21" Type="http://schemas.openxmlformats.org/officeDocument/2006/relationships/hyperlink" Target="http://online.zakon.kz/Document/?doc_id=32760211" TargetMode="External"/><Relationship Id="rId34" Type="http://schemas.openxmlformats.org/officeDocument/2006/relationships/hyperlink" Target="http://online.zakon.kz/Document/?doc_id=33110980" TargetMode="External"/><Relationship Id="rId42" Type="http://schemas.openxmlformats.org/officeDocument/2006/relationships/hyperlink" Target="http://online.zakon.kz/Document/?doc_id=38325102" TargetMode="External"/><Relationship Id="rId47" Type="http://schemas.openxmlformats.org/officeDocument/2006/relationships/hyperlink" Target="http://online.zakon.kz/Document/?doc_id=38247097" TargetMode="External"/><Relationship Id="rId50" Type="http://schemas.openxmlformats.org/officeDocument/2006/relationships/hyperlink" Target="http://online.zakon.kz/Document/?doc_id=37042031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1100003" TargetMode="Externa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2886530" TargetMode="External"/><Relationship Id="rId25" Type="http://schemas.openxmlformats.org/officeDocument/2006/relationships/hyperlink" Target="http://online.zakon.kz/Document/?doc_id=33230575" TargetMode="External"/><Relationship Id="rId33" Type="http://schemas.openxmlformats.org/officeDocument/2006/relationships/hyperlink" Target="http://online.zakon.kz/Document/?doc_id=32465375" TargetMode="External"/><Relationship Id="rId38" Type="http://schemas.openxmlformats.org/officeDocument/2006/relationships/hyperlink" Target="http://online.zakon.kz/Document/?doc_id=31121659" TargetMode="External"/><Relationship Id="rId46" Type="http://schemas.openxmlformats.org/officeDocument/2006/relationships/hyperlink" Target="http://online.zakon.kz/Document/?doc_id=31121659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0" Type="http://schemas.openxmlformats.org/officeDocument/2006/relationships/hyperlink" Target="http://online.zakon.kz/Document/?doc_id=33319116" TargetMode="External"/><Relationship Id="rId29" Type="http://schemas.openxmlformats.org/officeDocument/2006/relationships/hyperlink" Target="http://online.zakon.kz/Document/?doc_id=39714442" TargetMode="External"/><Relationship Id="rId41" Type="http://schemas.openxmlformats.org/officeDocument/2006/relationships/hyperlink" Target="http://online.zakon.kz/Document/?doc_id=30820388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yperlink" Target="http://online.zakon.kz/Document/?doc_id=31121659" TargetMode="External"/><Relationship Id="rId32" Type="http://schemas.openxmlformats.org/officeDocument/2006/relationships/hyperlink" Target="http://online.zakon.kz/Document/?doc_id=35234110" TargetMode="External"/><Relationship Id="rId37" Type="http://schemas.openxmlformats.org/officeDocument/2006/relationships/hyperlink" Target="http://online.zakon.kz/Document/?doc_id=31121659" TargetMode="External"/><Relationship Id="rId40" Type="http://schemas.openxmlformats.org/officeDocument/2006/relationships/hyperlink" Target="http://online.zakon.kz/Document/?doc_id=31121659" TargetMode="External"/><Relationship Id="rId45" Type="http://schemas.openxmlformats.org/officeDocument/2006/relationships/hyperlink" Target="http://online.zakon.kz/Document/?doc_id=31121659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yperlink" Target="http://online.zakon.kz/Document/?doc_id=39045577" TargetMode="External"/><Relationship Id="rId28" Type="http://schemas.openxmlformats.org/officeDocument/2006/relationships/hyperlink" Target="http://online.zakon.kz/Document/?doc_id=38247097" TargetMode="External"/><Relationship Id="rId36" Type="http://schemas.openxmlformats.org/officeDocument/2006/relationships/hyperlink" Target="http://online.zakon.kz/Document/?doc_id=35453953" TargetMode="External"/><Relationship Id="rId49" Type="http://schemas.openxmlformats.org/officeDocument/2006/relationships/hyperlink" Target="http://online.zakon.kz/Document/?doc_id=35871159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5871159" TargetMode="External"/><Relationship Id="rId19" Type="http://schemas.openxmlformats.org/officeDocument/2006/relationships/hyperlink" Target="http://online.zakon.kz/Document/?doc_id=33420820" TargetMode="External"/><Relationship Id="rId31" Type="http://schemas.openxmlformats.org/officeDocument/2006/relationships/hyperlink" Target="http://online.zakon.kz/Document/?doc_id=31121659" TargetMode="External"/><Relationship Id="rId44" Type="http://schemas.openxmlformats.org/officeDocument/2006/relationships/hyperlink" Target="http://online.zakon.kz/Document/?doc_id=32453928" TargetMode="External"/><Relationship Id="rId52" Type="http://schemas.openxmlformats.org/officeDocument/2006/relationships/hyperlink" Target="http://online.zakon.kz/Document/?doc_id=37042031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8247097" TargetMode="External"/><Relationship Id="rId27" Type="http://schemas.openxmlformats.org/officeDocument/2006/relationships/hyperlink" Target="http://online.zakon.kz/Document/?doc_id=38929901" TargetMode="External"/><Relationship Id="rId30" Type="http://schemas.openxmlformats.org/officeDocument/2006/relationships/hyperlink" Target="http://online.zakon.kz/Document/?doc_id=31121659" TargetMode="External"/><Relationship Id="rId35" Type="http://schemas.openxmlformats.org/officeDocument/2006/relationships/hyperlink" Target="http://online.zakon.kz/Document/?doc_id=31121659" TargetMode="External"/><Relationship Id="rId43" Type="http://schemas.openxmlformats.org/officeDocument/2006/relationships/hyperlink" Target="http://online.zakon.kz/Document/?doc_id=31121659" TargetMode="External"/><Relationship Id="rId48" Type="http://schemas.openxmlformats.org/officeDocument/2006/relationships/hyperlink" Target="http://online.zakon.kz/Document/?doc_id=31100003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0760096" TargetMode="External"/><Relationship Id="rId51" Type="http://schemas.openxmlformats.org/officeDocument/2006/relationships/hyperlink" Target="http://online.zakon.kz/Document/?doc_id=3587115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2362</Words>
  <Characters>20009</Characters>
  <Application>Microsoft Office Word</Application>
  <DocSecurity>0</DocSecurity>
  <Lines>166</Lines>
  <Paragraphs>44</Paragraphs>
  <ScaleCrop>false</ScaleCrop>
  <Company>SPecialiST RePack</Company>
  <LinksUpToDate>false</LinksUpToDate>
  <CharactersWithSpaces>22327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2024-07-07T08:17:00Z</dcterms:created>
  <dcterms:modified xsi:type="dcterms:W3CDTF">2024-07-07T08:17:00Z</dcterms:modified>
</cp:coreProperties>
</file>