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2CFC">
      <w:pPr>
        <w:pStyle w:val="pr"/>
      </w:pPr>
      <w:bookmarkStart w:id="0" w:name="_GoBack"/>
      <w:bookmarkEnd w:id="0"/>
      <w:r>
        <w:t>15.10.2018</w:t>
      </w:r>
    </w:p>
    <w:p w:rsidR="00000000" w:rsidRDefault="00A12CFC">
      <w:pPr>
        <w:pStyle w:val="pc"/>
      </w:pPr>
      <w:r>
        <w:rPr>
          <w:rStyle w:val="s1"/>
        </w:rPr>
        <w:t>Пресс-релиз № 34</w:t>
      </w:r>
      <w:r>
        <w:rPr>
          <w:rStyle w:val="s1"/>
        </w:rPr>
        <w:br/>
        <w:t>О повышении базовой ставки до 9,25%</w:t>
      </w:r>
    </w:p>
    <w:p w:rsidR="00000000" w:rsidRDefault="00A12CFC">
      <w:pPr>
        <w:pStyle w:val="pc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2CFC">
            <w:pPr>
              <w:pStyle w:val="p"/>
            </w:pPr>
            <w:r>
              <w:rPr>
                <w:rStyle w:val="s0"/>
              </w:rPr>
              <w:t>15 октября 2018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2CFC">
            <w:pPr>
              <w:pStyle w:val="pr"/>
            </w:pPr>
            <w:r>
              <w:rPr>
                <w:rStyle w:val="s0"/>
              </w:rPr>
              <w:t>г. Алматы</w:t>
            </w:r>
          </w:p>
        </w:tc>
      </w:tr>
    </w:tbl>
    <w:p w:rsidR="00000000" w:rsidRDefault="00A12CFC">
      <w:pPr>
        <w:pStyle w:val="p"/>
      </w:pPr>
      <w:r>
        <w:rPr>
          <w:rStyle w:val="s0"/>
        </w:rPr>
        <w:t> </w:t>
      </w:r>
    </w:p>
    <w:p w:rsidR="00000000" w:rsidRDefault="00A12CFC">
      <w:pPr>
        <w:pStyle w:val="pj"/>
      </w:pPr>
      <w:r>
        <w:rPr>
          <w:rStyle w:val="s0"/>
          <w:i/>
          <w:iCs/>
        </w:rPr>
        <w:t>Национальный Банк Республики Казахстан принял решение повысить базовую ставку на 0,25 процентного пункта до 9,25% с сохранением существующего коридора +/-1%. Решение было обусловлено усилением проинфляционных рисков, обозначенных при принятии предыдущих ре</w:t>
      </w:r>
      <w:r>
        <w:rPr>
          <w:rStyle w:val="s0"/>
          <w:i/>
          <w:iCs/>
        </w:rPr>
        <w:t xml:space="preserve">шений об уровне базовой ставки, в том числе через влияние на инфляцию колебаний обменного курса. Национальный Банк сохраняет свои оценки по динамике прогнозируемой инфляции вблизи верхней границы коридора 2019 года, т.е. ближе к 6%, и обращает внимание на </w:t>
      </w:r>
      <w:r>
        <w:rPr>
          <w:rStyle w:val="s0"/>
          <w:i/>
          <w:iCs/>
        </w:rPr>
        <w:t>рост неопределенности в инфляционных ожиданиях, вызванной внешними факторами. Дальнейшие решения по базовой ставке будут определяться соответствием прогнозируемой инфляции ее целевому коридору.</w:t>
      </w:r>
    </w:p>
    <w:p w:rsidR="00000000" w:rsidRDefault="00A12CFC">
      <w:pPr>
        <w:pStyle w:val="pj"/>
      </w:pPr>
      <w:r>
        <w:rPr>
          <w:rStyle w:val="s0"/>
          <w:i/>
          <w:iCs/>
        </w:rPr>
        <w:t>Для повышения операционной эффективности денежно-кредитных опе</w:t>
      </w:r>
      <w:r>
        <w:rPr>
          <w:rStyle w:val="s0"/>
          <w:i/>
          <w:iCs/>
        </w:rPr>
        <w:t>раций будет рассмотрена необходимость сужения границ процентного коридора.</w:t>
      </w:r>
    </w:p>
    <w:p w:rsidR="00000000" w:rsidRDefault="00A12CFC">
      <w:pPr>
        <w:pStyle w:val="pj"/>
      </w:pPr>
      <w:r>
        <w:rPr>
          <w:rStyle w:val="s0"/>
          <w:b/>
          <w:bCs/>
        </w:rPr>
        <w:t>Инфляционный фон</w:t>
      </w:r>
      <w:r>
        <w:rPr>
          <w:rStyle w:val="s0"/>
        </w:rPr>
        <w:t xml:space="preserve"> характеризуется на текущий момент как умеренный. Годовая инфляция в сентябре сформировалась на уровне 6,1%. Подорожание продукции на рынках сахара, круп, хлебобулоч</w:t>
      </w:r>
      <w:r>
        <w:rPr>
          <w:rStyle w:val="s0"/>
        </w:rPr>
        <w:t>ных изделий, яиц, куриного мяса привело к повышению продовольственной инфляции с 5,1% в августе до 5,7% в сентябре, несмотря на сезонное удешевление плодоовощной продукции на фоне ее высокого предложения. Непродовольственная компонента находилась под влиян</w:t>
      </w:r>
      <w:r>
        <w:rPr>
          <w:rStyle w:val="s0"/>
        </w:rPr>
        <w:t>ием удорожания твердого топлива на фоне снижения цен на горюче-смазочные материалы, а также умеренной ценовой динамики на остальные непродовольственные товары и платные услуги населению.</w:t>
      </w:r>
    </w:p>
    <w:p w:rsidR="00000000" w:rsidRDefault="00A12CFC">
      <w:pPr>
        <w:pStyle w:val="pj"/>
      </w:pPr>
      <w:r>
        <w:rPr>
          <w:rStyle w:val="s0"/>
        </w:rPr>
        <w:t>Рост цен в промышленном производстве на готовые потребительские товар</w:t>
      </w:r>
      <w:r>
        <w:rPr>
          <w:rStyle w:val="s0"/>
        </w:rPr>
        <w:t>ы остается умеренным (3,6% в годовом выражении). Тем не менее, сохраняющийся высоким рост цен в обрабатывающей промышленности (10,3%) будет создавать давление на потребительскую инфляцию на горизонте до 6-12 месяцев.</w:t>
      </w:r>
    </w:p>
    <w:p w:rsidR="00000000" w:rsidRDefault="00A12CFC">
      <w:pPr>
        <w:pStyle w:val="pj"/>
      </w:pPr>
      <w:r>
        <w:rPr>
          <w:rStyle w:val="s0"/>
        </w:rPr>
        <w:t>По оценкам Национального Банка, в текущ</w:t>
      </w:r>
      <w:r>
        <w:rPr>
          <w:rStyle w:val="s0"/>
        </w:rPr>
        <w:t>ем году инфляция сложится внутри целевого коридора 5-7%, а в 2019 году будет плавно входить в новый коридор 4-6%, находясь ближе к его верхней границе.</w:t>
      </w:r>
    </w:p>
    <w:p w:rsidR="00000000" w:rsidRDefault="00A12CFC">
      <w:pPr>
        <w:pStyle w:val="pj"/>
      </w:pPr>
      <w:r>
        <w:rPr>
          <w:rStyle w:val="s0"/>
        </w:rPr>
        <w:t xml:space="preserve">В августе и сентябре отмечался рост </w:t>
      </w:r>
      <w:r>
        <w:rPr>
          <w:rStyle w:val="s0"/>
          <w:b/>
          <w:bCs/>
        </w:rPr>
        <w:t>инфляционных ожиданий</w:t>
      </w:r>
      <w:r>
        <w:rPr>
          <w:rStyle w:val="s0"/>
        </w:rPr>
        <w:t xml:space="preserve"> (с 5,6% в июле до 5,9% и 6,4%, соответственно)</w:t>
      </w:r>
      <w:r>
        <w:rPr>
          <w:rStyle w:val="s0"/>
        </w:rPr>
        <w:t xml:space="preserve"> на фоне повышенной волатильности обменного курса, что подтверждает их неустойчивый характер в краткосрочном периоде. Воспринимаемая населением инфляция также повысилась - доля респондентов, считающих, что «за прошедшие 12 месяцев цены на товары и услуги р</w:t>
      </w:r>
      <w:r>
        <w:rPr>
          <w:rStyle w:val="s0"/>
        </w:rPr>
        <w:t>осли быстрее, чем раньше», составила 42,5% в сентябре по сравнению с 41,3% в августе текущего года.</w:t>
      </w:r>
    </w:p>
    <w:p w:rsidR="00000000" w:rsidRDefault="00A12CFC">
      <w:pPr>
        <w:pStyle w:val="pj"/>
      </w:pPr>
      <w:r>
        <w:rPr>
          <w:rStyle w:val="s0"/>
          <w:b/>
          <w:bCs/>
        </w:rPr>
        <w:t>Внутренний спрос</w:t>
      </w:r>
      <w:r>
        <w:rPr>
          <w:rStyle w:val="s0"/>
        </w:rPr>
        <w:t xml:space="preserve"> продолжает расширяться вследствие роста реальных доходов населения (за 8 месяцев рост на 3,5%) и объемов кредитов на потребительские цели (</w:t>
      </w:r>
      <w:r>
        <w:rPr>
          <w:rStyle w:val="s0"/>
        </w:rPr>
        <w:t>в августе - 12% в годовом выражении). В среднесрочном периоде рост доходов населения будет подкрепляться предстоящим повышением уровня минимальной заработной платы, оказывая проинфляционное давление на экономику.</w:t>
      </w:r>
    </w:p>
    <w:p w:rsidR="00000000" w:rsidRDefault="00A12CFC">
      <w:pPr>
        <w:pStyle w:val="pj"/>
      </w:pPr>
      <w:r>
        <w:rPr>
          <w:rStyle w:val="s0"/>
        </w:rPr>
        <w:t xml:space="preserve">Сохраняется </w:t>
      </w:r>
      <w:r>
        <w:rPr>
          <w:rStyle w:val="s0"/>
          <w:b/>
          <w:bCs/>
        </w:rPr>
        <w:t>положительный разрыв ВВП</w:t>
      </w:r>
      <w:r>
        <w:rPr>
          <w:rStyle w:val="s0"/>
        </w:rPr>
        <w:t>, отраж</w:t>
      </w:r>
      <w:r>
        <w:rPr>
          <w:rStyle w:val="s0"/>
        </w:rPr>
        <w:t>ая превышение фактического роста экономики над его потенциальным уровнем. Значение краткосрочного экономического индикатора за январь-сентябрь 2018 года составило 104,8%. Положительный вклад в рост внесли горнодобывающая (4,9%) и обрабатывающая (5,1%) пром</w:t>
      </w:r>
      <w:r>
        <w:rPr>
          <w:rStyle w:val="s0"/>
        </w:rPr>
        <w:t>ышленности, транспорт (4,6%) и торговля (6,7%).</w:t>
      </w:r>
    </w:p>
    <w:p w:rsidR="00000000" w:rsidRDefault="00A12CFC">
      <w:pPr>
        <w:pStyle w:val="pj"/>
      </w:pPr>
      <w:r>
        <w:rPr>
          <w:rStyle w:val="s0"/>
        </w:rPr>
        <w:t xml:space="preserve">Ситуация </w:t>
      </w:r>
      <w:r>
        <w:rPr>
          <w:rStyle w:val="s0"/>
          <w:b/>
          <w:bCs/>
        </w:rPr>
        <w:t>во внешнем секторе</w:t>
      </w:r>
      <w:r>
        <w:rPr>
          <w:rStyle w:val="s0"/>
        </w:rPr>
        <w:t xml:space="preserve"> сопровождается ужесточением монетарных условий ведущими центральными банками, а также центральными банками отдельных развивающихся стран в ответ на отток капитала и ослабление их н</w:t>
      </w:r>
      <w:r>
        <w:rPr>
          <w:rStyle w:val="s0"/>
        </w:rPr>
        <w:t>ациональных валют.</w:t>
      </w:r>
    </w:p>
    <w:p w:rsidR="00000000" w:rsidRDefault="00A12CFC">
      <w:pPr>
        <w:pStyle w:val="pj"/>
      </w:pPr>
      <w:r>
        <w:rPr>
          <w:rStyle w:val="s0"/>
        </w:rPr>
        <w:t xml:space="preserve">Риск проинфляционного давления со стороны </w:t>
      </w:r>
      <w:r>
        <w:rPr>
          <w:rStyle w:val="s0"/>
          <w:b/>
          <w:bCs/>
        </w:rPr>
        <w:t>внешнего сектора</w:t>
      </w:r>
      <w:r>
        <w:rPr>
          <w:rStyle w:val="s0"/>
        </w:rPr>
        <w:t xml:space="preserve"> по сравнению с периодом принятия предыдущего решения по базовой ставке сохраняется. Одними из главных факторов риска остаются как фактический рост инфляции в странах - основных т</w:t>
      </w:r>
      <w:r>
        <w:rPr>
          <w:rStyle w:val="s0"/>
        </w:rPr>
        <w:t>орговых партнерах в текущем году, так и ожидания по ее дальнейшему ускорению до уровней выше целевых показателей в текущем и следующем годах.</w:t>
      </w:r>
    </w:p>
    <w:p w:rsidR="00000000" w:rsidRDefault="00A12CFC">
      <w:pPr>
        <w:pStyle w:val="pj"/>
      </w:pPr>
      <w:r>
        <w:rPr>
          <w:rStyle w:val="s0"/>
        </w:rPr>
        <w:t xml:space="preserve">Новый уровень базовой ставки позволит повысить спрос на тенговые активы и сохранить </w:t>
      </w:r>
      <w:r>
        <w:rPr>
          <w:rStyle w:val="s0"/>
          <w:b/>
          <w:bCs/>
        </w:rPr>
        <w:t>денежно-кредитные условия</w:t>
      </w:r>
      <w:r>
        <w:rPr>
          <w:rStyle w:val="s0"/>
        </w:rPr>
        <w:t xml:space="preserve"> на у</w:t>
      </w:r>
      <w:r>
        <w:rPr>
          <w:rStyle w:val="s0"/>
        </w:rPr>
        <w:t>ровне, близком к нейтральному. Необходимость ужесточения денежно-кредитных условий будет определяться соответствием прогнозируемой инфляции ее целевому коридору.</w:t>
      </w:r>
    </w:p>
    <w:p w:rsidR="00000000" w:rsidRDefault="00A12CFC">
      <w:pPr>
        <w:pStyle w:val="pj"/>
      </w:pPr>
      <w:r>
        <w:rPr>
          <w:rStyle w:val="s0"/>
        </w:rPr>
        <w:t>Для повышения эффективности денежно-кредитной политики Национальный Банк видит необходимость в дальнейшем улучшении краткосрочной предсказуемости таргетируемой ставки TONIA в границах целевого коридора, в том числе, за счет сближения таргетируемой ставки с</w:t>
      </w:r>
      <w:r>
        <w:rPr>
          <w:rStyle w:val="s0"/>
        </w:rPr>
        <w:t xml:space="preserve"> базовой ставкой.</w:t>
      </w:r>
    </w:p>
    <w:p w:rsidR="00000000" w:rsidRDefault="00A12CFC">
      <w:pPr>
        <w:pStyle w:val="pj"/>
      </w:pPr>
      <w:r>
        <w:rPr>
          <w:rStyle w:val="s0"/>
        </w:rPr>
        <w:t>Очередное решение по базовой ставке будет объявлено 3 декабря 2018 года в 17:00 по времени Астаны.</w:t>
      </w:r>
    </w:p>
    <w:p w:rsidR="00000000" w:rsidRDefault="00A12CFC">
      <w:pPr>
        <w:pStyle w:val="p"/>
      </w:pPr>
      <w:r>
        <w:t> </w:t>
      </w:r>
    </w:p>
    <w:p w:rsidR="00000000" w:rsidRDefault="00A12CFC">
      <w:pPr>
        <w:pStyle w:val="p"/>
      </w:pPr>
      <w:r>
        <w:rPr>
          <w:sz w:val="20"/>
          <w:szCs w:val="20"/>
        </w:rPr>
        <w:t> </w:t>
      </w:r>
    </w:p>
    <w:p w:rsidR="00000000" w:rsidRDefault="00A12CFC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7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CFC" w:rsidRDefault="00A12CFC" w:rsidP="00A12CFC">
      <w:r>
        <w:separator/>
      </w:r>
    </w:p>
  </w:endnote>
  <w:endnote w:type="continuationSeparator" w:id="0">
    <w:p w:rsidR="00A12CFC" w:rsidRDefault="00A12CFC" w:rsidP="00A12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CFC" w:rsidRDefault="00A12C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CFC" w:rsidRDefault="00A12C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CFC" w:rsidRDefault="00A12C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CFC" w:rsidRDefault="00A12CFC" w:rsidP="00A12CFC">
      <w:r>
        <w:separator/>
      </w:r>
    </w:p>
  </w:footnote>
  <w:footnote w:type="continuationSeparator" w:id="0">
    <w:p w:rsidR="00A12CFC" w:rsidRDefault="00A12CFC" w:rsidP="00A12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CFC" w:rsidRDefault="00A12C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CFC" w:rsidRDefault="00A12CFC" w:rsidP="00A12C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2CFC" w:rsidRPr="00A12CFC" w:rsidRDefault="00A12CFC" w:rsidP="00A12C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повышении базовой ставки до 9,25% (пресс-релиз НБ РК от 15 октября 2018 г. № 34)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CFC" w:rsidRDefault="00A12C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2CFC"/>
    <w:rsid w:val="00A12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2C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2C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2C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2C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2C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2C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2C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2C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686</Words>
  <Characters>3911</Characters>
  <Application>Microsoft Office Word</Application>
  <DocSecurity>0</DocSecurity>
  <Lines>32</Lines>
  <Paragraphs>9</Paragraphs>
  <ScaleCrop>false</ScaleCrop>
  <Company/>
  <LinksUpToDate>false</LinksUpToDate>
  <CharactersWithSpaces>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2025-07-24T13:02:00Z</dcterms:created>
  <dcterms:modified xsi:type="dcterms:W3CDTF">2025-07-24T13:02:00Z</dcterms:modified>
</cp:coreProperties>
</file>