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0387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08.01.2023 г.)</w:t>
      </w:r>
    </w:p>
    <w:p w:rsidR="00000000" w:rsidRDefault="00A60387">
      <w:pPr>
        <w:pStyle w:val="pc"/>
      </w:pPr>
      <w:r>
        <w:t> </w:t>
      </w:r>
    </w:p>
    <w:p w:rsidR="00000000" w:rsidRDefault="00A60387">
      <w:pPr>
        <w:pStyle w:val="pji"/>
      </w:pPr>
      <w:r>
        <w:rPr>
          <w:rStyle w:val="s3"/>
        </w:rPr>
        <w:t>Данная редакция действовала до внесения изменений от 15 февраля 2023 года (введены в действие с 10 марта 2023 г.)</w:t>
      </w:r>
    </w:p>
    <w:p w:rsidR="00000000" w:rsidRDefault="00A60387">
      <w:pPr>
        <w:pStyle w:val="pc"/>
      </w:pPr>
      <w:r>
        <w:t> </w:t>
      </w:r>
    </w:p>
    <w:p w:rsidR="00000000" w:rsidRDefault="00A60387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</w:t>
      </w:r>
      <w:r>
        <w:rPr>
          <w:rStyle w:val="s0"/>
        </w:rPr>
        <w:t xml:space="preserve">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A60387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A60387">
      <w:pPr>
        <w:pStyle w:val="pj"/>
      </w:pPr>
      <w:bookmarkStart w:id="1" w:name="SUB200"/>
      <w:bookmarkEnd w:id="1"/>
      <w:r>
        <w:rPr>
          <w:rStyle w:val="s0"/>
        </w:rPr>
        <w:t>2. Утратил</w:t>
      </w:r>
      <w:r>
        <w:rPr>
          <w:rStyle w:val="s0"/>
        </w:rPr>
        <w:t xml:space="preserve"> силу в соответствии с </w:t>
      </w: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A60387">
      <w:pPr>
        <w:pStyle w:val="pj"/>
      </w:pPr>
      <w:r>
        <w:rPr>
          <w:rStyle w:val="s0"/>
        </w:rPr>
        <w:t>3. Установить:</w:t>
      </w:r>
    </w:p>
    <w:p w:rsidR="00000000" w:rsidRDefault="00A60387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A60387">
      <w:pPr>
        <w:pStyle w:val="pj"/>
      </w:pPr>
      <w:bookmarkStart w:id="2" w:name="SUB302"/>
      <w:bookmarkEnd w:id="2"/>
      <w:r>
        <w:rPr>
          <w:rStyle w:val="s0"/>
        </w:rPr>
        <w:t>3.2. Докум</w:t>
      </w:r>
      <w:r>
        <w:rPr>
          <w:rStyle w:val="s0"/>
        </w:rPr>
        <w:t>енты об оценке (подтверждении) соответствия обязательным требованиям, установленным нормативными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</w:t>
      </w:r>
      <w:r>
        <w:rPr>
          <w:rStyle w:val="s0"/>
        </w:rPr>
        <w:t>м технического регулирования Технического регламента (далее - продукция) до дня вступления в силу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</w:t>
      </w:r>
      <w:r>
        <w:rPr>
          <w:rStyle w:val="s0"/>
        </w:rPr>
        <w:t>в, срок действия которых ограничивается количественной квоты.</w:t>
      </w:r>
    </w:p>
    <w:p w:rsidR="00000000" w:rsidRDefault="00A60387">
      <w:pPr>
        <w:pStyle w:val="pj"/>
      </w:pPr>
      <w:r>
        <w:rPr>
          <w:rStyle w:val="s0"/>
        </w:rPr>
        <w:t>Указанные документы, выданные или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A60387">
      <w:pPr>
        <w:pStyle w:val="pj"/>
      </w:pPr>
      <w:r>
        <w:rPr>
          <w:rStyle w:val="s0"/>
        </w:rPr>
        <w:t>Также данные документы могут использоваться в качес</w:t>
      </w:r>
      <w:r>
        <w:rPr>
          <w:rStyle w:val="s0"/>
        </w:rPr>
        <w:t>тве доказательственных материалов в целях проверки выполнения требований настоящего технического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A60387">
      <w:pPr>
        <w:pStyle w:val="pj"/>
      </w:pPr>
      <w:r>
        <w:rPr>
          <w:rStyle w:val="s0"/>
        </w:rPr>
        <w:t>При распространении указан</w:t>
      </w:r>
      <w:r>
        <w:rPr>
          <w:rStyle w:val="s0"/>
        </w:rPr>
        <w:t>ных в абзаце первом настоящего пункта документов в порядке, установленном настоящим техническим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</w:t>
      </w:r>
      <w:r>
        <w:rPr>
          <w:rStyle w:val="s0"/>
        </w:rPr>
        <w:t xml:space="preserve"> случае срок действия документа, выданного на основании технического регламента, должен соответствовать сроку действия документа, действовавшего до вступления в силу настоящего технического регламента.</w:t>
      </w:r>
    </w:p>
    <w:p w:rsidR="00000000" w:rsidRDefault="00A60387">
      <w:pPr>
        <w:pStyle w:val="pj"/>
      </w:pPr>
      <w:r>
        <w:rPr>
          <w:rStyle w:val="s0"/>
        </w:rPr>
        <w:t>Со дня вступления в силу Технического регламента выдач</w:t>
      </w:r>
      <w:r>
        <w:rPr>
          <w:rStyle w:val="s0"/>
        </w:rPr>
        <w:t>а или принятие документов об оценке (подтверждении) соответствия продукции обязательным требованиям,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A60387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0387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A60387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A60387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A60387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A60387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A60387">
      <w:pPr>
        <w:pStyle w:val="pji"/>
      </w:pPr>
      <w:bookmarkStart w:id="3" w:name="SUB3020500"/>
      <w:bookmarkEnd w:id="3"/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2" w:anchor="sub_id=3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 (</w:t>
      </w:r>
      <w:hyperlink r:id="rId23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0387">
      <w:pPr>
        <w:pStyle w:val="pj"/>
      </w:pPr>
      <w:r>
        <w:rPr>
          <w:rStyle w:val="s0"/>
        </w:rPr>
        <w:t>3.2.5. До 31 января 2024 г</w:t>
      </w:r>
      <w:r>
        <w:t>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или дооснащать устройством или системой, соответствующими обязательным требов</w:t>
      </w:r>
      <w:r>
        <w:rPr>
          <w:rStyle w:val="s0"/>
        </w:rPr>
        <w:t xml:space="preserve">аниям, установленным нормативными правовыми актами государства - члена Евразийского экономического союза, принятыми в соответствии с абзацем вторым </w:t>
      </w:r>
      <w:hyperlink r:id="rId2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</w:t>
      </w:r>
      <w:r>
        <w:rPr>
          <w:rStyle w:val="s0"/>
        </w:rPr>
        <w:t>мента,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</w:t>
      </w:r>
      <w:r>
        <w:rPr>
          <w:rStyle w:val="s0"/>
        </w:rPr>
        <w:t>(за исключением транспортных средств для перевозки 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</w:t>
      </w:r>
      <w:r>
        <w:rPr>
          <w:rStyle w:val="s0"/>
        </w:rPr>
        <w:t>ния типа транспортного средства (одобрения типа шасси).</w:t>
      </w:r>
    </w:p>
    <w:p w:rsidR="00000000" w:rsidRDefault="00A60387">
      <w:pPr>
        <w:pStyle w:val="pj"/>
      </w:pPr>
      <w:r>
        <w:rPr>
          <w:rStyle w:val="s0"/>
        </w:rPr>
        <w:t>Указанные в абзаце первом настоящего подпункта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</w:t>
      </w:r>
      <w:r>
        <w:rPr>
          <w:rStyle w:val="s0"/>
        </w:rPr>
        <w:t xml:space="preserve">асси) </w:t>
      </w:r>
      <w:r>
        <w:t xml:space="preserve">до </w:t>
      </w:r>
      <w:r>
        <w:rPr>
          <w:rStyle w:val="s0"/>
        </w:rPr>
        <w:t xml:space="preserve">31 декабря 2024 г. </w:t>
      </w:r>
    </w:p>
    <w:p w:rsidR="00000000" w:rsidRDefault="00A60387">
      <w:pPr>
        <w:pStyle w:val="pj"/>
      </w:pPr>
      <w:r>
        <w:rPr>
          <w:rStyle w:val="s0"/>
        </w:rPr>
        <w:t xml:space="preserve">Реализация указанных в абзаце первом настоящего подпункта транспортных средств (шасси), выпущенных в обращение с даты вступления настоящего Решения в силу </w:t>
      </w:r>
      <w:r>
        <w:t xml:space="preserve">до </w:t>
      </w:r>
      <w:r>
        <w:rPr>
          <w:rStyle w:val="s0"/>
        </w:rPr>
        <w:t>31 января 2024 г.</w:t>
      </w:r>
      <w:r>
        <w:t xml:space="preserve"> </w:t>
      </w:r>
      <w:r>
        <w:rPr>
          <w:rStyle w:val="s0"/>
        </w:rPr>
        <w:t>без устройств или систем вызова экстренных оператив</w:t>
      </w:r>
      <w:r>
        <w:rPr>
          <w:rStyle w:val="s0"/>
        </w:rPr>
        <w:t>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электронном паспорте транспортного средства</w:t>
      </w:r>
      <w:r>
        <w:rPr>
          <w:rStyle w:val="s0"/>
        </w:rPr>
        <w:t xml:space="preserve"> (электронном паспорте шасси транспортного средства) соответствующей информации.</w:t>
      </w:r>
    </w:p>
    <w:p w:rsidR="00000000" w:rsidRDefault="00A60387">
      <w:pPr>
        <w:pStyle w:val="pj"/>
      </w:pPr>
      <w:r>
        <w:rPr>
          <w:rStyle w:val="s0"/>
        </w:rPr>
        <w:t>В случае недооснащения транспортных средств (шасси), произведенных на территории одного государства - члена Евразийского экономического союза и находящихся в эксплуатации на е</w:t>
      </w:r>
      <w:r>
        <w:rPr>
          <w:rStyle w:val="s0"/>
        </w:rPr>
        <w:t>го территории, устройством или системой вызова экстренных оперативных служб, соответствующими требованиям Технического регламента, на такие транспортные средства (шасси) с 31 декабря 2024 г. распространяются положения абзаца второго подпункта 3.2.6 настоящ</w:t>
      </w:r>
      <w:r>
        <w:rPr>
          <w:rStyle w:val="s0"/>
        </w:rPr>
        <w:t>его Решения.</w:t>
      </w:r>
    </w:p>
    <w:p w:rsidR="00000000" w:rsidRDefault="00A60387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A60387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A60387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6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</w:t>
      </w:r>
      <w:r>
        <w:rPr>
          <w:rStyle w:val="s0"/>
        </w:rPr>
        <w:t>тные средства произведены, за исключением случая, указанного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A60387">
      <w:pPr>
        <w:pStyle w:val="pj"/>
      </w:pPr>
      <w:r>
        <w:rPr>
          <w:rStyle w:val="s0"/>
        </w:rPr>
        <w:t xml:space="preserve">Осуществление прав </w:t>
      </w:r>
      <w:r>
        <w:rPr>
          <w:rStyle w:val="s0"/>
        </w:rPr>
        <w:t>владения, пользования, распоряжения транспортными средствами,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</w:t>
      </w:r>
      <w:r>
        <w:rPr>
          <w:rStyle w:val="s0"/>
        </w:rPr>
        <w:t>члена, в котором эти транспортные средства произведены,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A60387">
      <w:pPr>
        <w:pStyle w:val="pji"/>
      </w:pPr>
      <w:bookmarkStart w:id="4" w:name="SUB3020700"/>
      <w:bookmarkEnd w:id="4"/>
      <w:r>
        <w:rPr>
          <w:rStyle w:val="s3"/>
        </w:rPr>
        <w:t xml:space="preserve">3020700Пункт дополнен подпунктом 3.2.7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15.04.22 г. № 77 (распространяется на правоотношения, возникшие с 15 апреля 2022 г.); внесены изменения в соответствии с  </w:t>
      </w:r>
      <w:hyperlink r:id="rId2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(вступили в силу с 8 января 2023 г.) (</w:t>
      </w:r>
      <w:hyperlink r:id="rId29" w:anchor="sub_id=3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0387">
      <w:pPr>
        <w:pStyle w:val="pj"/>
      </w:pPr>
      <w:r>
        <w:rPr>
          <w:rStyle w:val="s0"/>
        </w:rPr>
        <w:t>3.2.7. До 1 февраля 2024 г. в Республике Армения, Республике Казахстан допускается оценка соответствия и выпуск в обращение транспортных средств категорий М и N, которые изготовлены на территории государства - члена Евразийского экономического союза или вв</w:t>
      </w:r>
      <w:r>
        <w:rPr>
          <w:rStyle w:val="s0"/>
        </w:rPr>
        <w:t xml:space="preserve">езены официальными представителями иностранных изготовителей на территорию такого государства - члена Евразийского экономического союза, без применения пунктов 113 и 114 </w:t>
      </w:r>
      <w:hyperlink r:id="rId30" w:anchor="sub_id=2113" w:history="1">
        <w:r>
          <w:rPr>
            <w:rStyle w:val="a4"/>
          </w:rPr>
          <w:t>прил</w:t>
        </w:r>
        <w:r>
          <w:rPr>
            <w:rStyle w:val="a4"/>
          </w:rPr>
          <w:t>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31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A60387">
      <w:pPr>
        <w:pStyle w:val="pj"/>
      </w:pPr>
      <w:r>
        <w:rPr>
          <w:rStyle w:val="s0"/>
        </w:rPr>
        <w:t>До 1 февраля 2024 г. в Республике Беларусь, Кыргызской Республике и Российской</w:t>
      </w:r>
      <w:r>
        <w:rPr>
          <w:rStyle w:val="s0"/>
        </w:rPr>
        <w:t xml:space="preserve">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служб устанавливаются в соответст</w:t>
      </w:r>
      <w:r>
        <w:rPr>
          <w:rStyle w:val="s0"/>
        </w:rPr>
        <w:t>вии с нормативными правовыми актами Правительства Республики Беларусь, Кабинета Министров Кыргызской Республики или Правительства Российской Федерации соответственно.</w:t>
      </w:r>
    </w:p>
    <w:p w:rsidR="00000000" w:rsidRDefault="00A60387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</w:t>
      </w:r>
      <w:r>
        <w:rPr>
          <w:rStyle w:val="s0"/>
        </w:rPr>
        <w:t>ми в абзацах первом и втором настоящего пункта, не допускается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</w:t>
      </w:r>
      <w:r>
        <w:rPr>
          <w:rStyle w:val="s0"/>
        </w:rPr>
        <w:t>едены или на территорию которого они ввезены официальными представителями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A60387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3.2.8 в соответствии с </w:t>
      </w:r>
      <w:hyperlink r:id="rId3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</w:t>
      </w:r>
    </w:p>
    <w:p w:rsidR="00000000" w:rsidRDefault="00A60387">
      <w:pPr>
        <w:pStyle w:val="pj"/>
      </w:pPr>
      <w:r>
        <w:rPr>
          <w:rStyle w:val="s0"/>
        </w:rPr>
        <w:t>3.2.8. До 1 февраля 2023 г. в Республике Армения, Республике Беларусь, Р</w:t>
      </w:r>
      <w:r>
        <w:rPr>
          <w:rStyle w:val="s0"/>
        </w:rPr>
        <w:t xml:space="preserve">еспублике Казахстан и Кыргызской Республике допускается оценка соответствия и выпуск в обращение единичных транспортных средств категорий M и N, ввозимых для собственных нужд на территории этих государств, без применения положений раздела 5 </w:t>
      </w:r>
      <w:hyperlink r:id="rId33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A60387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первом настоящего подпункта, не допускается на территориях других государств - членов Евразийского экономического союза, если иное не установлено законодат</w:t>
      </w:r>
      <w:r>
        <w:rPr>
          <w:rStyle w:val="s0"/>
        </w:rPr>
        <w:t>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A60387">
      <w:pPr>
        <w:pStyle w:val="pji"/>
      </w:pPr>
      <w:r>
        <w:rPr>
          <w:rStyle w:val="s3"/>
        </w:rPr>
        <w:t xml:space="preserve">Пункт дополнен подпунктом 3.2.9 в соответствии с </w:t>
      </w:r>
      <w:hyperlink r:id="rId3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</w:t>
      </w:r>
      <w:r>
        <w:rPr>
          <w:rStyle w:val="s3"/>
        </w:rPr>
        <w:t>ской экономической комиссии от 19.08.22 г. № 120 (распространяется на правоотношения, возникшие с 1 апреля 2022 г.)</w:t>
      </w:r>
    </w:p>
    <w:p w:rsidR="00000000" w:rsidRDefault="00A60387">
      <w:pPr>
        <w:pStyle w:val="pj"/>
      </w:pPr>
      <w:r>
        <w:rPr>
          <w:rStyle w:val="s0"/>
        </w:rPr>
        <w:t xml:space="preserve">3.2.9. Выпуск в обращение и нахождение в эксплуатации транспортных средств, указанных в абзаце третьем </w:t>
      </w:r>
      <w:hyperlink r:id="rId35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того государства, куда были ввезены такие транспортные средства (на территории Республики Армения или н</w:t>
      </w:r>
      <w:r>
        <w:rPr>
          <w:rStyle w:val="s0"/>
        </w:rPr>
        <w:t>а территории Республики Беларусь).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A60387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</w:t>
      </w:r>
      <w:r>
        <w:rPr>
          <w:rStyle w:val="s0"/>
        </w:rPr>
        <w:t xml:space="preserve"> указанными в абзаце третьем </w:t>
      </w:r>
      <w:hyperlink r:id="rId36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не допускается на территориях государств - членов Евразийского экономического союза, за исключением территории Р</w:t>
      </w:r>
      <w:r>
        <w:rPr>
          <w:rStyle w:val="s0"/>
        </w:rPr>
        <w:t>еспублики Армения или территории Республики Беларусь соответственно,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A60387">
      <w:pPr>
        <w:pStyle w:val="pj"/>
      </w:pPr>
      <w:r>
        <w:rPr>
          <w:rStyle w:val="s0"/>
        </w:rPr>
        <w:t>3.3. До 1 июля 2016 года допускается производство и выпуск в обращение продукци</w:t>
      </w:r>
      <w:r>
        <w:rPr>
          <w:rStyle w:val="s0"/>
        </w:rPr>
        <w:t>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</w:t>
      </w:r>
      <w:r>
        <w:rPr>
          <w:rStyle w:val="s0"/>
        </w:rPr>
        <w:t>ым обязательным требованиям, выданных или принятых до дня вступления в силу Технического регламента.</w:t>
      </w:r>
    </w:p>
    <w:p w:rsidR="00000000" w:rsidRDefault="00A60387">
      <w:pPr>
        <w:pStyle w:val="pj"/>
      </w:pPr>
      <w:r>
        <w:rPr>
          <w:rStyle w:val="s0"/>
        </w:rPr>
        <w:t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</w:t>
      </w:r>
      <w:r>
        <w:rPr>
          <w:rStyle w:val="s0"/>
        </w:rPr>
        <w:t xml:space="preserve">ного союза или с </w:t>
      </w:r>
      <w:hyperlink r:id="rId3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A60387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A60387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</w:t>
      </w:r>
      <w:r>
        <w:rPr>
          <w:rStyle w:val="s0"/>
        </w:rPr>
        <w:t>установленного в соответствии с законодательством государства - члена Таможенного союза.</w:t>
      </w:r>
    </w:p>
    <w:p w:rsidR="00000000" w:rsidRDefault="00A60387">
      <w:pPr>
        <w:pStyle w:val="pji"/>
      </w:pPr>
      <w:r>
        <w:rPr>
          <w:rStyle w:val="s3"/>
        </w:rPr>
        <w:t xml:space="preserve">Пункт дополнен подпунктом 3.5 в соответствии с </w:t>
      </w:r>
      <w:hyperlink r:id="rId3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</w:t>
      </w:r>
      <w:r>
        <w:rPr>
          <w:rStyle w:val="s3"/>
        </w:rPr>
        <w:t>1.06.22 г. № 103</w:t>
      </w:r>
    </w:p>
    <w:p w:rsidR="00000000" w:rsidRDefault="00A60387">
      <w:pPr>
        <w:pStyle w:val="pj"/>
      </w:pPr>
      <w:r>
        <w:rPr>
          <w:rStyle w:val="s0"/>
        </w:rPr>
        <w:t xml:space="preserve">3.5. В случае наступления в 2022 году срока проведения планового контроля, предусмотренного </w:t>
      </w:r>
      <w:hyperlink r:id="rId39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Технического регламента, по заявлению заявителя </w:t>
      </w:r>
      <w:r>
        <w:rPr>
          <w:rStyle w:val="s0"/>
        </w:rPr>
        <w:t>орган по сертификации вправе принять решение о переносе проведения такого контроля на срок до 12 месяцев при наличии подтверждения неизменности технологического процесса производства сертифицированной продукции и технической документации на продукцию.</w:t>
      </w:r>
    </w:p>
    <w:p w:rsidR="00000000" w:rsidRDefault="00A60387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3.6 в соответствии с </w:t>
      </w:r>
      <w:hyperlink r:id="rId4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132 (распространяется на правоотношения, возникшие с 1 марта 2022 г.)</w:t>
      </w:r>
    </w:p>
    <w:p w:rsidR="00000000" w:rsidRDefault="00A60387">
      <w:pPr>
        <w:pStyle w:val="pj"/>
      </w:pPr>
      <w:r>
        <w:rPr>
          <w:rStyle w:val="s0"/>
        </w:rPr>
        <w:t>3.6. До 31</w:t>
      </w:r>
      <w:r>
        <w:rPr>
          <w:rStyle w:val="s0"/>
        </w:rPr>
        <w:t xml:space="preserve"> декабря 2024 г.:</w:t>
      </w:r>
    </w:p>
    <w:p w:rsidR="00000000" w:rsidRDefault="00A60387">
      <w:pPr>
        <w:pStyle w:val="pj"/>
      </w:pPr>
      <w:r>
        <w:rPr>
          <w:rStyle w:val="s0"/>
        </w:rPr>
        <w:t>3.6.1. </w:t>
      </w:r>
      <w:hyperlink r:id="rId41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Технического регламента применяется с учетом того, что уполномоченные представители иностранного изготовителя вправе быть заявителями при пр</w:t>
      </w:r>
      <w:r>
        <w:rPr>
          <w:rStyle w:val="s0"/>
        </w:rPr>
        <w:t>оведении одобрения типа транспортного средства (одобрения типа шасси), распространении или продлении его действия.</w:t>
      </w:r>
    </w:p>
    <w:p w:rsidR="00000000" w:rsidRDefault="00A60387">
      <w:pPr>
        <w:pStyle w:val="pj"/>
      </w:pPr>
      <w:r>
        <w:rPr>
          <w:rStyle w:val="s0"/>
        </w:rPr>
        <w:t>3.6.2. </w:t>
      </w:r>
      <w:hyperlink r:id="rId42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Технического регламента не применяется.</w:t>
      </w:r>
    </w:p>
    <w:p w:rsidR="00000000" w:rsidRDefault="00A60387">
      <w:pPr>
        <w:pStyle w:val="pji"/>
      </w:pPr>
      <w:r>
        <w:rPr>
          <w:rStyle w:val="s3"/>
        </w:rPr>
        <w:t xml:space="preserve">Пункт дополнен подпунктом 3.7 в соответствии с </w:t>
      </w:r>
      <w:hyperlink r:id="rId43" w:anchor="sub_id=3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</w:t>
      </w:r>
    </w:p>
    <w:p w:rsidR="00000000" w:rsidRDefault="00A60387">
      <w:pPr>
        <w:pStyle w:val="pj"/>
      </w:pPr>
      <w:r>
        <w:rPr>
          <w:rStyle w:val="s0"/>
        </w:rPr>
        <w:t>3.7. Информация о г</w:t>
      </w:r>
      <w:r>
        <w:rPr>
          <w:rStyle w:val="s0"/>
        </w:rPr>
        <w:t xml:space="preserve">осударстве - члене Евразийского экономического союза, на территории которого допускается осуществление прав владения, пользования и распоряжения транспортными средствами, указанными в абзаце четвертом </w:t>
      </w:r>
      <w:hyperlink w:anchor="sub3020500" w:history="1">
        <w:r>
          <w:rPr>
            <w:rStyle w:val="a4"/>
          </w:rPr>
          <w:t>подпункта 3.2.5</w:t>
        </w:r>
      </w:hyperlink>
      <w:r>
        <w:rPr>
          <w:rStyle w:val="s0"/>
        </w:rPr>
        <w:t xml:space="preserve"> и </w:t>
      </w:r>
      <w:hyperlink w:anchor="sub3020700" w:history="1">
        <w:r>
          <w:rPr>
            <w:rStyle w:val="a4"/>
          </w:rPr>
          <w:t>подпунктах 3.2.7 и 3.2.8</w:t>
        </w:r>
      </w:hyperlink>
      <w:r>
        <w:rPr>
          <w:rStyle w:val="s0"/>
        </w:rPr>
        <w:t xml:space="preserve"> настоящего Решения, указывается в электронном паспорте такого транспортного средства.</w:t>
      </w:r>
    </w:p>
    <w:p w:rsidR="00000000" w:rsidRDefault="00A60387">
      <w:pPr>
        <w:pStyle w:val="pj"/>
      </w:pPr>
      <w:r>
        <w:rPr>
          <w:rStyle w:val="s0"/>
        </w:rPr>
        <w:t>В случае дооснащения таких транспортных средств устройством или системой вызова экстренных оперативных служб, соотве</w:t>
      </w:r>
      <w:r>
        <w:rPr>
          <w:rStyle w:val="s0"/>
        </w:rPr>
        <w:t>тствующими требованиям Технического регламента, информация, указанная в абзаце первом настоящего подпункта, исключается из электронного паспорта транспортного средства.</w:t>
      </w:r>
    </w:p>
    <w:p w:rsidR="00000000" w:rsidRDefault="00A60387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</w:t>
      </w:r>
      <w:r>
        <w:rPr>
          <w:rStyle w:val="s0"/>
        </w:rPr>
        <w:t>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A60387">
      <w:pPr>
        <w:pStyle w:val="pj"/>
      </w:pPr>
      <w:r>
        <w:rPr>
          <w:rStyle w:val="s0"/>
        </w:rPr>
        <w:t>5. Российской Стороне:</w:t>
      </w:r>
    </w:p>
    <w:p w:rsidR="00000000" w:rsidRDefault="00A60387">
      <w:pPr>
        <w:pStyle w:val="pj"/>
      </w:pPr>
      <w:r>
        <w:rPr>
          <w:rStyle w:val="s0"/>
        </w:rPr>
        <w:t>5.1. Не реже одного раза в три года по</w:t>
      </w:r>
      <w:r>
        <w:rPr>
          <w:rStyle w:val="s0"/>
        </w:rPr>
        <w:t>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A60387">
      <w:pPr>
        <w:pStyle w:val="pj"/>
      </w:pPr>
      <w:r>
        <w:rPr>
          <w:rStyle w:val="s0"/>
        </w:rPr>
        <w:t>5.2</w:t>
      </w:r>
      <w:r>
        <w:rPr>
          <w:rStyle w:val="s0"/>
        </w:rPr>
        <w:t xml:space="preserve">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</w:t>
      </w:r>
      <w:r>
        <w:rPr>
          <w:rStyle w:val="s0"/>
        </w:rPr>
        <w:t>нов Сторон.</w:t>
      </w:r>
    </w:p>
    <w:p w:rsidR="00000000" w:rsidRDefault="00A60387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A60387">
      <w:pPr>
        <w:pStyle w:val="pj"/>
      </w:pPr>
      <w:r>
        <w:rPr>
          <w:rStyle w:val="s0"/>
        </w:rPr>
        <w:t>5.4. В срок до 31 декабря 2012 года разработат</w:t>
      </w:r>
      <w:r>
        <w:rPr>
          <w:rStyle w:val="s0"/>
        </w:rPr>
        <w:t>ь и представить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</w:t>
      </w:r>
      <w:r>
        <w:rPr>
          <w:rStyle w:val="s0"/>
        </w:rPr>
        <w:t>и транспортного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A60387">
      <w:pPr>
        <w:pStyle w:val="pj"/>
      </w:pPr>
      <w:r>
        <w:rPr>
          <w:rStyle w:val="s0"/>
        </w:rPr>
        <w:t>5.5. В трехмеся</w:t>
      </w:r>
      <w:r>
        <w:rPr>
          <w:rStyle w:val="s0"/>
        </w:rPr>
        <w:t>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A60387">
      <w:pPr>
        <w:pStyle w:val="pj"/>
      </w:pPr>
      <w:r>
        <w:rPr>
          <w:rStyle w:val="s0"/>
        </w:rPr>
        <w:t>6. Сторонам:</w:t>
      </w:r>
    </w:p>
    <w:p w:rsidR="00000000" w:rsidRDefault="00A60387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</w:t>
      </w:r>
      <w:r>
        <w:rPr>
          <w:rStyle w:val="s0"/>
        </w:rPr>
        <w:t>сию;</w:t>
      </w:r>
    </w:p>
    <w:p w:rsidR="00000000" w:rsidRDefault="00A60387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A60387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A60387">
      <w:pPr>
        <w:pStyle w:val="a3"/>
      </w:pPr>
      <w:r>
        <w:rPr>
          <w:rStyle w:val="s0"/>
        </w:rPr>
        <w:t> </w:t>
      </w:r>
    </w:p>
    <w:p w:rsidR="00000000" w:rsidRDefault="00A60387">
      <w:pPr>
        <w:pStyle w:val="a3"/>
      </w:pPr>
      <w:r>
        <w:rPr>
          <w:rStyle w:val="s0"/>
        </w:rPr>
        <w:t> </w:t>
      </w:r>
    </w:p>
    <w:p w:rsidR="00000000" w:rsidRDefault="00A60387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A60387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Ка</w:t>
            </w:r>
            <w:r>
              <w:rPr>
                <w:rStyle w:val="s0"/>
                <w:b/>
                <w:bCs/>
              </w:rPr>
              <w:t>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387">
            <w:pPr>
              <w:pStyle w:val="pc"/>
            </w:pPr>
            <w:r>
              <w:t> </w:t>
            </w:r>
          </w:p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387">
            <w:pPr>
              <w:pStyle w:val="pc"/>
            </w:pPr>
            <w:r>
              <w:t> </w:t>
            </w:r>
          </w:p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387">
            <w:pPr>
              <w:pStyle w:val="pc"/>
            </w:pPr>
            <w:r>
              <w:t> </w:t>
            </w:r>
          </w:p>
          <w:p w:rsidR="00000000" w:rsidRDefault="00A60387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A60387">
      <w:pPr>
        <w:pStyle w:val="a3"/>
      </w:pPr>
      <w:r>
        <w:t> </w:t>
      </w:r>
    </w:p>
    <w:p w:rsidR="00000000" w:rsidRDefault="00A60387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0387">
      <w:pPr>
        <w:pStyle w:val="pc"/>
      </w:pPr>
      <w:r>
        <w:t> </w:t>
      </w:r>
    </w:p>
    <w:p w:rsidR="00000000" w:rsidRDefault="00A60387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</w:t>
      </w:r>
      <w:r>
        <w:rPr>
          <w:rStyle w:val="s0"/>
        </w:rPr>
        <w:t xml:space="preserve">от 25.12.18 г. № 219 </w:t>
      </w:r>
      <w:r>
        <w:rPr>
          <w:rStyle w:val="s3"/>
        </w:rPr>
        <w:t>(</w:t>
      </w:r>
      <w:hyperlink r:id="rId4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0387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A60387">
      <w:pPr>
        <w:pStyle w:val="pc"/>
      </w:pPr>
      <w:r>
        <w:t> </w:t>
      </w:r>
    </w:p>
    <w:p w:rsidR="00000000" w:rsidRDefault="00A60387">
      <w:pPr>
        <w:pStyle w:val="pc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387" w:rsidRDefault="00A60387" w:rsidP="00A60387">
      <w:r>
        <w:separator/>
      </w:r>
    </w:p>
  </w:endnote>
  <w:endnote w:type="continuationSeparator" w:id="0">
    <w:p w:rsidR="00A60387" w:rsidRDefault="00A60387" w:rsidP="00A603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387" w:rsidRDefault="00A603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387" w:rsidRDefault="00A603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387" w:rsidRDefault="00A603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387" w:rsidRDefault="00A60387" w:rsidP="00A60387">
      <w:r>
        <w:separator/>
      </w:r>
    </w:p>
  </w:footnote>
  <w:footnote w:type="continuationSeparator" w:id="0">
    <w:p w:rsidR="00A60387" w:rsidRDefault="00A60387" w:rsidP="00A603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387" w:rsidRDefault="00A603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387" w:rsidRDefault="00A60387" w:rsidP="00A603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0387" w:rsidRPr="00A60387" w:rsidRDefault="00A60387" w:rsidP="00A603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387" w:rsidRDefault="00A603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0387"/>
    <w:rsid w:val="00A60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03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03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03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03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03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03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03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03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1121659" TargetMode="Externa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5453953" TargetMode="External"/><Relationship Id="rId42" Type="http://schemas.openxmlformats.org/officeDocument/2006/relationships/hyperlink" Target="http://online.zakon.kz/Document/?doc_id=31121659" TargetMode="External"/><Relationship Id="rId47" Type="http://schemas.openxmlformats.org/officeDocument/2006/relationships/hyperlink" Target="http://online.zakon.kz/Document/?doc_id=35871159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11000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9" Type="http://schemas.openxmlformats.org/officeDocument/2006/relationships/hyperlink" Target="http://online.zakon.kz/Document/?doc_id=39714442" TargetMode="Externa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5234110" TargetMode="External"/><Relationship Id="rId37" Type="http://schemas.openxmlformats.org/officeDocument/2006/relationships/hyperlink" Target="http://online.zakon.kz/Document/?doc_id=30820388" TargetMode="External"/><Relationship Id="rId40" Type="http://schemas.openxmlformats.org/officeDocument/2006/relationships/hyperlink" Target="http://online.zakon.kz/Document/?doc_id=32453928" TargetMode="External"/><Relationship Id="rId45" Type="http://schemas.openxmlformats.org/officeDocument/2006/relationships/hyperlink" Target="http://online.zakon.kz/Document/?doc_id=35871159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hyperlink" Target="http://online.zakon.kz/Document/?doc_id=31100003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8247097" TargetMode="External"/><Relationship Id="rId27" Type="http://schemas.openxmlformats.org/officeDocument/2006/relationships/hyperlink" Target="http://online.zakon.kz/Document/?doc_id=38929901" TargetMode="External"/><Relationship Id="rId30" Type="http://schemas.openxmlformats.org/officeDocument/2006/relationships/hyperlink" Target="http://online.zakon.kz/Document/?doc_id=31121659" TargetMode="External"/><Relationship Id="rId35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8247097" TargetMode="External"/><Relationship Id="rId48" Type="http://schemas.openxmlformats.org/officeDocument/2006/relationships/hyperlink" Target="http://online.zakon.kz/Document/?doc_id=37042031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0760096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3230575" TargetMode="External"/><Relationship Id="rId33" Type="http://schemas.openxmlformats.org/officeDocument/2006/relationships/hyperlink" Target="http://online.zakon.kz/Document/?doc_id=31121659" TargetMode="External"/><Relationship Id="rId38" Type="http://schemas.openxmlformats.org/officeDocument/2006/relationships/hyperlink" Target="http://online.zakon.kz/Document/?doc_id=38325102" TargetMode="External"/><Relationship Id="rId46" Type="http://schemas.openxmlformats.org/officeDocument/2006/relationships/hyperlink" Target="http://online.zakon.kz/Document/?doc_id=37042031" TargetMode="External"/><Relationship Id="rId20" Type="http://schemas.openxmlformats.org/officeDocument/2006/relationships/hyperlink" Target="http://online.zakon.kz/Document/?doc_id=33319116" TargetMode="External"/><Relationship Id="rId41" Type="http://schemas.openxmlformats.org/officeDocument/2006/relationships/hyperlink" Target="http://online.zakon.kz/Document/?doc_id=31121659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9045577" TargetMode="External"/><Relationship Id="rId28" Type="http://schemas.openxmlformats.org/officeDocument/2006/relationships/hyperlink" Target="http://online.zakon.kz/Document/?doc_id=38247097" TargetMode="External"/><Relationship Id="rId36" Type="http://schemas.openxmlformats.org/officeDocument/2006/relationships/hyperlink" Target="http://online.zakon.kz/Document/?doc_id=31121659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2232</Words>
  <Characters>18873</Characters>
  <Application>Microsoft Office Word</Application>
  <DocSecurity>0</DocSecurity>
  <Lines>157</Lines>
  <Paragraphs>42</Paragraphs>
  <ScaleCrop>false</ScaleCrop>
  <Company/>
  <LinksUpToDate>false</LinksUpToDate>
  <CharactersWithSpaces>21063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2023-09-16T07:45:00Z</dcterms:created>
  <dcterms:modified xsi:type="dcterms:W3CDTF">2023-09-16T07:45:00Z</dcterms:modified>
</cp:coreProperties>
</file>