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733">
      <w:pPr>
        <w:pStyle w:val="pc"/>
      </w:pPr>
      <w:bookmarkStart w:id="0" w:name="_GoBack"/>
      <w:bookmarkEnd w:id="0"/>
      <w:r>
        <w:rPr>
          <w:rStyle w:val="s1"/>
        </w:rPr>
        <w:t>Приказ Министра по чрезвычайным ситуациям Республики Казахстан от 16 августа 2023 года № 434</w:t>
      </w:r>
      <w:r>
        <w:rPr>
          <w:rStyle w:val="s1"/>
        </w:rPr>
        <w:br/>
        <w:t>О внесении изменений и дополнения в приказ Министра по инвестициям и развитию Республики Казахстан от 30 декабря 2014 года № 342 «Об утверждении Правил обеспечения</w:t>
      </w:r>
      <w:r>
        <w:rPr>
          <w:rStyle w:val="s1"/>
        </w:rPr>
        <w:t xml:space="preserve"> промышленной безопасности для опасных производственных объектов в нефтехимической, нефтеперерабатывающей отраслях, нефтебаз и автозаправочных станций»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C2733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30 декабря 2014 года № 342 «Об утверждении Правил обеспечения промышленной безопасности для опасных производственных объектов в нефтехимической, нефтеперерабатывающей отраслях, нефтебаз и автозапра</w:t>
      </w:r>
      <w:r>
        <w:rPr>
          <w:rStyle w:val="s0"/>
        </w:rPr>
        <w:t>вочных станций» (зарегистрирован в Реестре государственной регистрации нормативных правовых актов за № 10256) следующие изменения и дополнение:</w:t>
      </w:r>
    </w:p>
    <w:p w:rsidR="00000000" w:rsidRDefault="00CC2733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обеспечения промышле</w:t>
      </w:r>
      <w:r>
        <w:rPr>
          <w:rStyle w:val="s0"/>
        </w:rPr>
        <w:t>нной безопасности для опасных производственных объектов в нефтехимической, нефтеперерабатывающей отраслях, нефтебаз и автозаправочных станций, утвержденных указанным приказом:</w:t>
      </w:r>
    </w:p>
    <w:p w:rsidR="00000000" w:rsidRDefault="00CC2733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CC2733">
      <w:pPr>
        <w:pStyle w:val="pj"/>
      </w:pPr>
      <w:r>
        <w:rPr>
          <w:rStyle w:val="s0"/>
        </w:rPr>
        <w:t>«6) аппараты колонного типа – цилиндрические вертикальные сосуды постоянного или переменного сечения, оснащенные внутренними тепло- и массообменными устройствами (тарелками или насадкой), а также вспо</w:t>
      </w:r>
      <w:r>
        <w:rPr>
          <w:rStyle w:val="s0"/>
        </w:rPr>
        <w:t>могательными узлами (ввода жидкости и пара, распределителями жидкости и пара, аккумуляторными устройствами для сбора жидкости, устройствами для размещения насадочных элементов), обеспечивающими проведение технологического процесса (ректификации, абсорбции,</w:t>
      </w:r>
      <w:r>
        <w:rPr>
          <w:rStyle w:val="s0"/>
        </w:rPr>
        <w:t xml:space="preserve"> экстрактивной ректификации, экстракции (при взаимодействии жидкость-жидкость), прямого теплообмена между паром (газом) и жидкостью).»;</w:t>
      </w:r>
    </w:p>
    <w:p w:rsidR="00000000" w:rsidRDefault="00CC2733">
      <w:pPr>
        <w:pStyle w:val="pj"/>
      </w:pPr>
      <w:hyperlink r:id="rId10" w:anchor="sub_id=4200" w:history="1">
        <w:r>
          <w:rPr>
            <w:rStyle w:val="a4"/>
          </w:rPr>
          <w:t>пункт 42</w:t>
        </w:r>
      </w:hyperlink>
      <w:r>
        <w:rPr>
          <w:rStyle w:val="s0"/>
        </w:rPr>
        <w:t xml:space="preserve"> изложить в следующей редакции</w:t>
      </w:r>
      <w:r>
        <w:rPr>
          <w:rStyle w:val="s0"/>
        </w:rPr>
        <w:t>:</w:t>
      </w:r>
    </w:p>
    <w:p w:rsidR="00000000" w:rsidRDefault="00CC2733">
      <w:pPr>
        <w:pStyle w:val="pj"/>
      </w:pPr>
      <w:r>
        <w:rPr>
          <w:rStyle w:val="s0"/>
        </w:rPr>
        <w:t>«42. Техническое обслуживание резервуаров осуществляется по графику, утвержденному техническим руководителем.»;</w:t>
      </w:r>
    </w:p>
    <w:p w:rsidR="00000000" w:rsidRDefault="00CC2733">
      <w:pPr>
        <w:pStyle w:val="pj"/>
      </w:pPr>
      <w:hyperlink r:id="rId11" w:anchor="sub_id=20800" w:history="1">
        <w:r>
          <w:rPr>
            <w:rStyle w:val="a4"/>
          </w:rPr>
          <w:t>пункт 208</w:t>
        </w:r>
      </w:hyperlink>
      <w:r>
        <w:rPr>
          <w:rStyle w:val="s0"/>
        </w:rPr>
        <w:t xml:space="preserve"> исключить;</w:t>
      </w:r>
    </w:p>
    <w:p w:rsidR="00000000" w:rsidRDefault="00CC2733">
      <w:pPr>
        <w:pStyle w:val="pj"/>
      </w:pPr>
      <w:hyperlink r:id="rId12" w:anchor="sub_id=30500" w:history="1">
        <w:r>
          <w:rPr>
            <w:rStyle w:val="a4"/>
          </w:rPr>
          <w:t>пункт 305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«305. Насосное оборудование, полы и лотки насосных необходимо содержать в чистоте. Сточные воды после мытья пола и лотков, содержащие кислоты, щелочи, селективные раствор</w:t>
      </w:r>
      <w:r>
        <w:rPr>
          <w:rStyle w:val="s0"/>
        </w:rPr>
        <w:t>ители и другие едкие и вредные вещества, должны накапливаться в специальной емкости и перед спуском в канализацию обезвреживаться в строгом соответствии с технологическим регламентом.»;</w:t>
      </w:r>
    </w:p>
    <w:p w:rsidR="00000000" w:rsidRDefault="00CC2733">
      <w:pPr>
        <w:pStyle w:val="pj"/>
      </w:pPr>
      <w:hyperlink r:id="rId13" w:anchor="sub_id=35100" w:history="1">
        <w:r>
          <w:rPr>
            <w:rStyle w:val="a4"/>
          </w:rPr>
          <w:t>пункты 351</w:t>
        </w:r>
      </w:hyperlink>
      <w:r>
        <w:rPr>
          <w:rStyle w:val="s0"/>
        </w:rPr>
        <w:t xml:space="preserve"> и </w:t>
      </w:r>
      <w:hyperlink r:id="rId14" w:anchor="sub_id=35200" w:history="1">
        <w:r>
          <w:rPr>
            <w:rStyle w:val="a4"/>
          </w:rPr>
          <w:t>352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«351. Территория нефтебазы ограждается продуваемой оградой (металлическая или железобетонная решетчатая) из него</w:t>
      </w:r>
      <w:r>
        <w:rPr>
          <w:rStyle w:val="s0"/>
        </w:rPr>
        <w:t>рючих материалов высотой не менее 2 метров. Ограда располагается от зданий и сооружений (кроме административных) не менее чем на 5 метров.</w:t>
      </w:r>
    </w:p>
    <w:p w:rsidR="00000000" w:rsidRDefault="00CC2733">
      <w:pPr>
        <w:pStyle w:val="pj"/>
      </w:pPr>
      <w:r>
        <w:rPr>
          <w:rStyle w:val="s0"/>
        </w:rPr>
        <w:t>352. Размещение зданий, сооружений и оборудования на территории нефтебазы осуществляется в соответствии с требованиям</w:t>
      </w:r>
      <w:r>
        <w:rPr>
          <w:rStyle w:val="s0"/>
        </w:rPr>
        <w:t xml:space="preserve">и СН РК 2.02-03-2012 и СП РК 2.02-103-2012 «Склады нефти и нефтепродуктов. Противопожарные нормы», СН РК 4.04-07-2013 и СП РК 4.04-107-2013 «Электротехнические устройства», СН РК 2.04-01-2011 и СП РК 2.04-104-2012 «Естественное и искусственное освещение», </w:t>
      </w:r>
      <w:r>
        <w:rPr>
          <w:rStyle w:val="s0"/>
        </w:rPr>
        <w:t>СН РК 5.03-07-2013 и СП РК 5.03-107-2013 «Несущие и ограждающие конструкций», СН РК 2.02-11-2002 «Нормы оборудования зданий, помещений и сооружений системами автоматической пожарной сигнализации, автоматическими установками пожаротушения и оповещения людей</w:t>
      </w:r>
      <w:r>
        <w:rPr>
          <w:rStyle w:val="s0"/>
        </w:rPr>
        <w:t xml:space="preserve"> о пожаре».»;</w:t>
      </w:r>
    </w:p>
    <w:p w:rsidR="00000000" w:rsidRDefault="00CC2733">
      <w:pPr>
        <w:pStyle w:val="pj"/>
      </w:pPr>
      <w:hyperlink r:id="rId15" w:anchor="sub_id=43200" w:history="1">
        <w:r>
          <w:rPr>
            <w:rStyle w:val="a4"/>
          </w:rPr>
          <w:t>пункт 432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«432. Стены насосных станций закрытого типа белятся.»;</w:t>
      </w:r>
    </w:p>
    <w:p w:rsidR="00000000" w:rsidRDefault="00CC2733">
      <w:pPr>
        <w:pStyle w:val="pj"/>
      </w:pPr>
      <w:hyperlink r:id="rId16" w:anchor="sub_id=46600" w:history="1">
        <w:r>
          <w:rPr>
            <w:rStyle w:val="a4"/>
          </w:rPr>
          <w:t>пункты 466</w:t>
        </w:r>
      </w:hyperlink>
      <w:r>
        <w:rPr>
          <w:rStyle w:val="s0"/>
        </w:rPr>
        <w:t xml:space="preserve">, </w:t>
      </w:r>
      <w:hyperlink r:id="rId17" w:anchor="sub_id=46700" w:history="1">
        <w:r>
          <w:rPr>
            <w:rStyle w:val="a4"/>
          </w:rPr>
          <w:t>467</w:t>
        </w:r>
      </w:hyperlink>
      <w:r>
        <w:rPr>
          <w:rStyle w:val="s0"/>
        </w:rPr>
        <w:t xml:space="preserve">, </w:t>
      </w:r>
      <w:hyperlink r:id="rId18" w:anchor="sub_id=46800" w:history="1">
        <w:r>
          <w:rPr>
            <w:rStyle w:val="a4"/>
          </w:rPr>
          <w:t>468</w:t>
        </w:r>
      </w:hyperlink>
      <w:r>
        <w:rPr>
          <w:rStyle w:val="s0"/>
        </w:rPr>
        <w:t xml:space="preserve">, </w:t>
      </w:r>
      <w:hyperlink r:id="rId19" w:anchor="sub_id=46900" w:history="1">
        <w:r>
          <w:rPr>
            <w:rStyle w:val="a4"/>
          </w:rPr>
          <w:t>469</w:t>
        </w:r>
      </w:hyperlink>
      <w:r>
        <w:rPr>
          <w:rStyle w:val="s0"/>
        </w:rPr>
        <w:t xml:space="preserve"> и </w:t>
      </w:r>
      <w:hyperlink r:id="rId20" w:anchor="sub_id=51900" w:history="1">
        <w:r>
          <w:rPr>
            <w:rStyle w:val="a4"/>
          </w:rPr>
          <w:t>519</w:t>
        </w:r>
      </w:hyperlink>
      <w:r>
        <w:rPr>
          <w:rStyle w:val="s0"/>
        </w:rPr>
        <w:t xml:space="preserve"> исключить;</w:t>
      </w:r>
    </w:p>
    <w:p w:rsidR="00000000" w:rsidRDefault="00CC2733">
      <w:pPr>
        <w:pStyle w:val="pj"/>
      </w:pPr>
      <w:hyperlink r:id="rId21" w:anchor="sub_id=52000" w:history="1">
        <w:r>
          <w:rPr>
            <w:rStyle w:val="a4"/>
          </w:rPr>
          <w:t>пункт 520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«520. Отбирать пробу из железнодорожной цистерны допускается не ранее, чем через 10 минут после окончания ее заполнения.</w:t>
      </w:r>
    </w:p>
    <w:p w:rsidR="00000000" w:rsidRDefault="00CC2733">
      <w:pPr>
        <w:pStyle w:val="pj"/>
      </w:pPr>
      <w:r>
        <w:rPr>
          <w:rStyle w:val="s0"/>
        </w:rPr>
        <w:t>Пробу нефтепродукта пробоотборщик отбирает в присутствии наблюдающего.»;</w:t>
      </w:r>
    </w:p>
    <w:p w:rsidR="00000000" w:rsidRDefault="00CC2733">
      <w:pPr>
        <w:pStyle w:val="pj"/>
      </w:pPr>
      <w:hyperlink r:id="rId22" w:anchor="sub_id=53400" w:history="1">
        <w:r>
          <w:rPr>
            <w:rStyle w:val="a4"/>
          </w:rPr>
          <w:t>пункт 534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«534. Устройства для налива и отпуска нефтепродуктов размещаются в отдельных помещениях или на отдельных площадках.»;</w:t>
      </w:r>
    </w:p>
    <w:p w:rsidR="00000000" w:rsidRDefault="00CC2733">
      <w:pPr>
        <w:pStyle w:val="pj"/>
      </w:pPr>
      <w:hyperlink r:id="rId23" w:anchor="sub_id=54400" w:history="1">
        <w:r>
          <w:rPr>
            <w:rStyle w:val="a4"/>
          </w:rPr>
          <w:t>пункты 544</w:t>
        </w:r>
      </w:hyperlink>
      <w:r>
        <w:rPr>
          <w:rStyle w:val="s0"/>
        </w:rPr>
        <w:t xml:space="preserve"> и </w:t>
      </w:r>
      <w:hyperlink r:id="rId24" w:anchor="sub_id=59400" w:history="1">
        <w:r>
          <w:rPr>
            <w:rStyle w:val="a4"/>
          </w:rPr>
          <w:t>594</w:t>
        </w:r>
      </w:hyperlink>
      <w:r>
        <w:rPr>
          <w:rStyle w:val="s0"/>
        </w:rPr>
        <w:t xml:space="preserve"> исключить;</w:t>
      </w:r>
    </w:p>
    <w:p w:rsidR="00000000" w:rsidRDefault="00CC2733">
      <w:pPr>
        <w:pStyle w:val="pj"/>
      </w:pPr>
      <w:hyperlink r:id="rId25" w:anchor="sub_id=63000" w:history="1">
        <w:r>
          <w:rPr>
            <w:rStyle w:val="a4"/>
          </w:rPr>
          <w:t>пункт 630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«630. Прием и хранение топлива в резервуаре с подтоварной водой не допускается.»;</w:t>
      </w:r>
    </w:p>
    <w:p w:rsidR="00000000" w:rsidRDefault="00CC2733">
      <w:pPr>
        <w:pStyle w:val="pj"/>
      </w:pPr>
      <w:hyperlink r:id="rId26" w:anchor="sub_id=63100" w:history="1">
        <w:r>
          <w:rPr>
            <w:rStyle w:val="a4"/>
          </w:rPr>
          <w:t>пункт 631</w:t>
        </w:r>
      </w:hyperlink>
      <w:r>
        <w:rPr>
          <w:rStyle w:val="s0"/>
        </w:rPr>
        <w:t xml:space="preserve"> исключить;</w:t>
      </w:r>
    </w:p>
    <w:p w:rsidR="00000000" w:rsidRDefault="00CC2733">
      <w:pPr>
        <w:pStyle w:val="pj"/>
      </w:pPr>
      <w:hyperlink r:id="rId27" w:anchor="sub_id=63700" w:history="1">
        <w:r>
          <w:rPr>
            <w:rStyle w:val="a4"/>
          </w:rPr>
          <w:t>пункт 637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 xml:space="preserve">«637. Не допускается отпуск нефтепродуктов в стеклянную тару. Отпуск нефтепродуктов в тару, выполненную из полимерных материалов, допускается только при наличии </w:t>
      </w:r>
      <w:r>
        <w:rPr>
          <w:rStyle w:val="s0"/>
        </w:rPr>
        <w:t>на таре или в паспорте к ней маркировки предприятия-изготовителя о возможности ее использования для хранения нефтепродуктов.»;</w:t>
      </w:r>
    </w:p>
    <w:p w:rsidR="00000000" w:rsidRDefault="00CC2733">
      <w:pPr>
        <w:pStyle w:val="pj"/>
      </w:pPr>
      <w:hyperlink r:id="rId28" w:anchor="sub_id=64200" w:history="1">
        <w:r>
          <w:rPr>
            <w:rStyle w:val="a4"/>
          </w:rPr>
          <w:t>пункты 642</w:t>
        </w:r>
      </w:hyperlink>
      <w:r>
        <w:rPr>
          <w:rStyle w:val="s0"/>
        </w:rPr>
        <w:t xml:space="preserve">, </w:t>
      </w:r>
      <w:hyperlink r:id="rId29" w:anchor="sub_id=69900" w:history="1">
        <w:r>
          <w:rPr>
            <w:rStyle w:val="a4"/>
          </w:rPr>
          <w:t>699</w:t>
        </w:r>
      </w:hyperlink>
      <w:r>
        <w:rPr>
          <w:rStyle w:val="s0"/>
        </w:rPr>
        <w:t xml:space="preserve">, </w:t>
      </w:r>
      <w:hyperlink r:id="rId30" w:anchor="sub_id=70000" w:history="1">
        <w:r>
          <w:rPr>
            <w:rStyle w:val="a4"/>
          </w:rPr>
          <w:t>700</w:t>
        </w:r>
      </w:hyperlink>
      <w:r>
        <w:rPr>
          <w:rStyle w:val="s0"/>
        </w:rPr>
        <w:t xml:space="preserve"> и </w:t>
      </w:r>
      <w:hyperlink r:id="rId31" w:anchor="sub_id=70100" w:history="1">
        <w:r>
          <w:rPr>
            <w:rStyle w:val="a4"/>
          </w:rPr>
          <w:t>701</w:t>
        </w:r>
      </w:hyperlink>
      <w:r>
        <w:rPr>
          <w:rStyle w:val="s0"/>
        </w:rPr>
        <w:t xml:space="preserve"> исключить;</w:t>
      </w:r>
    </w:p>
    <w:p w:rsidR="00000000" w:rsidRDefault="00CC2733">
      <w:pPr>
        <w:pStyle w:val="pj"/>
      </w:pPr>
      <w:hyperlink r:id="rId32" w:anchor="sub_id=72400" w:history="1">
        <w:r>
          <w:rPr>
            <w:rStyle w:val="a4"/>
          </w:rPr>
          <w:t>пункт 724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«724. Выдача наряд-допуска производится в соответствии с требованиями Правил оформления и применения нарядов-допусков при производст</w:t>
      </w:r>
      <w:r>
        <w:rPr>
          <w:rStyle w:val="s0"/>
        </w:rPr>
        <w:t>ве работ в условиях повышенной опасности, утвержденных приказом Министра труда и социальной защиты населения РК от 28 августа 2020 года № 344 (зарегистрирован в Реестре государственной регистрации нормативных правовых актов за № 21151).»;</w:t>
      </w:r>
    </w:p>
    <w:p w:rsidR="00000000" w:rsidRDefault="00CC2733">
      <w:pPr>
        <w:pStyle w:val="pj"/>
      </w:pPr>
      <w:hyperlink r:id="rId33" w:anchor="sub_id=83000" w:history="1">
        <w:r>
          <w:rPr>
            <w:rStyle w:val="a4"/>
          </w:rPr>
          <w:t>пункт 830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C2733">
      <w:pPr>
        <w:pStyle w:val="pj"/>
      </w:pPr>
      <w:r>
        <w:rPr>
          <w:rStyle w:val="s0"/>
        </w:rPr>
        <w:t>«830. Ремонт и проверка КИП и средств автоматики производится квалифицированными специалистами.».</w:t>
      </w:r>
    </w:p>
    <w:p w:rsidR="00000000" w:rsidRDefault="00CC2733">
      <w:pPr>
        <w:pStyle w:val="pj"/>
      </w:pPr>
      <w:r>
        <w:rPr>
          <w:rStyle w:val="s0"/>
        </w:rPr>
        <w:t xml:space="preserve">2. Комитету промышленной безопасности Министерства </w:t>
      </w:r>
      <w:r>
        <w:rPr>
          <w:rStyle w:val="s0"/>
        </w:rPr>
        <w:t>по чрезвычайным ситуациям Республики Казахстан обеспечить:</w:t>
      </w:r>
    </w:p>
    <w:p w:rsidR="00000000" w:rsidRDefault="00CC2733">
      <w:pPr>
        <w:pStyle w:val="pj"/>
      </w:pPr>
      <w:r>
        <w:rPr>
          <w:rStyle w:val="s0"/>
        </w:rPr>
        <w:t xml:space="preserve">1) государственную </w:t>
      </w:r>
      <w:hyperlink r:id="rId3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C2733">
      <w:pPr>
        <w:pStyle w:val="pj"/>
      </w:pPr>
      <w:r>
        <w:rPr>
          <w:rStyle w:val="s0"/>
        </w:rPr>
        <w:t>2) размещение настоящего приказа на и</w:t>
      </w:r>
      <w:r>
        <w:rPr>
          <w:rStyle w:val="s0"/>
        </w:rPr>
        <w:t>нтернет-ресурсе Министерства по чрезвычайным ситуациям Республики Казахстан после его официального опубликования.</w:t>
      </w:r>
    </w:p>
    <w:p w:rsidR="00000000" w:rsidRDefault="00CC2733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по чрезвычайным ситуациям Республики Казахстан.</w:t>
      </w:r>
    </w:p>
    <w:p w:rsidR="00000000" w:rsidRDefault="00CC2733">
      <w:pPr>
        <w:pStyle w:val="pj"/>
      </w:pPr>
      <w:r>
        <w:rPr>
          <w:rStyle w:val="s0"/>
        </w:rPr>
        <w:t>4. Настоя</w:t>
      </w:r>
      <w:r>
        <w:rPr>
          <w:rStyle w:val="s0"/>
        </w:rPr>
        <w:t xml:space="preserve">щий приказ вводится в действие по истечении десяти календарных дней после дня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2733">
            <w:pPr>
              <w:pStyle w:val="p"/>
            </w:pPr>
            <w:r>
              <w:rPr>
                <w:rStyle w:val="s0"/>
                <w:b/>
                <w:bCs/>
              </w:rPr>
              <w:t>Министр по чрезвычайным ситуациям</w:t>
            </w:r>
          </w:p>
          <w:p w:rsidR="00000000" w:rsidRDefault="00CC273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273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C2733">
            <w:pPr>
              <w:pStyle w:val="pr"/>
            </w:pPr>
            <w:r>
              <w:rPr>
                <w:rStyle w:val="s0"/>
                <w:b/>
                <w:bCs/>
              </w:rPr>
              <w:t>С. Шари</w:t>
            </w:r>
            <w:r>
              <w:rPr>
                <w:rStyle w:val="s0"/>
                <w:b/>
                <w:bCs/>
              </w:rPr>
              <w:t>пханов</w:t>
            </w:r>
          </w:p>
        </w:tc>
      </w:tr>
    </w:tbl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«СОГЛАСОВАН»</w:t>
      </w:r>
    </w:p>
    <w:p w:rsidR="00000000" w:rsidRDefault="00CC2733">
      <w:pPr>
        <w:pStyle w:val="pj"/>
      </w:pPr>
      <w:r>
        <w:rPr>
          <w:rStyle w:val="s0"/>
        </w:rPr>
        <w:t>Министерство энергетики</w:t>
      </w:r>
    </w:p>
    <w:p w:rsidR="00000000" w:rsidRDefault="00CC2733">
      <w:pPr>
        <w:pStyle w:val="pj"/>
      </w:pPr>
      <w:r>
        <w:rPr>
          <w:rStyle w:val="s0"/>
        </w:rPr>
        <w:t>Республики Казахстан</w:t>
      </w:r>
    </w:p>
    <w:p w:rsidR="00000000" w:rsidRDefault="00CC2733">
      <w:pPr>
        <w:pStyle w:val="pj"/>
      </w:pPr>
      <w:r>
        <w:rPr>
          <w:rStyle w:val="s0"/>
        </w:rPr>
        <w:t>«СОГЛАСОВАН»</w:t>
      </w:r>
    </w:p>
    <w:p w:rsidR="00000000" w:rsidRDefault="00CC2733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CC2733">
      <w:pPr>
        <w:pStyle w:val="pj"/>
      </w:pPr>
      <w:r>
        <w:rPr>
          <w:rStyle w:val="s0"/>
        </w:rPr>
        <w:t>Республики Казахстан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p w:rsidR="00000000" w:rsidRDefault="00CC2733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733" w:rsidRDefault="00CC2733" w:rsidP="00CC2733">
      <w:r>
        <w:separator/>
      </w:r>
    </w:p>
  </w:endnote>
  <w:endnote w:type="continuationSeparator" w:id="0">
    <w:p w:rsidR="00CC2733" w:rsidRDefault="00CC2733" w:rsidP="00CC2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33" w:rsidRDefault="00CC27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33" w:rsidRDefault="00CC27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33" w:rsidRDefault="00CC27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733" w:rsidRDefault="00CC2733" w:rsidP="00CC2733">
      <w:r>
        <w:separator/>
      </w:r>
    </w:p>
  </w:footnote>
  <w:footnote w:type="continuationSeparator" w:id="0">
    <w:p w:rsidR="00CC2733" w:rsidRDefault="00CC2733" w:rsidP="00CC2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33" w:rsidRDefault="00CC27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33" w:rsidRDefault="00CC2733" w:rsidP="00CC27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733" w:rsidRDefault="00CC2733" w:rsidP="00CC27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16 августа 2023 года № 434 «О внесении изменений и дополнения в приказ Министра по инвестициям и развитию Республики Казахстан от 30 декабря 2014 года № 342 «Об утверждении Правил обеспечения промышленной безопасности для опасных производственных объектов в нефтехимической, нефтеперерабатывающей отраслях, нефтебаз и автозаправочных станций»</w:t>
    </w:r>
  </w:p>
  <w:p w:rsidR="00CC2733" w:rsidRPr="00CC2733" w:rsidRDefault="00CC2733" w:rsidP="00CC27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33" w:rsidRDefault="00CC27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733"/>
    <w:rsid w:val="00CC2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27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73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7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73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27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73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7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73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4237" TargetMode="External"/><Relationship Id="rId13" Type="http://schemas.openxmlformats.org/officeDocument/2006/relationships/hyperlink" Target="http://online.zakon.kz/Document/?doc_id=31674237" TargetMode="External"/><Relationship Id="rId18" Type="http://schemas.openxmlformats.org/officeDocument/2006/relationships/hyperlink" Target="http://online.zakon.kz/Document/?doc_id=31674237" TargetMode="External"/><Relationship Id="rId26" Type="http://schemas.openxmlformats.org/officeDocument/2006/relationships/hyperlink" Target="http://online.zakon.kz/Document/?doc_id=31674237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74237" TargetMode="External"/><Relationship Id="rId34" Type="http://schemas.openxmlformats.org/officeDocument/2006/relationships/hyperlink" Target="http://online.zakon.kz/Document/?doc_id=34898953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674237" TargetMode="External"/><Relationship Id="rId12" Type="http://schemas.openxmlformats.org/officeDocument/2006/relationships/hyperlink" Target="http://online.zakon.kz/Document/?doc_id=31674237" TargetMode="External"/><Relationship Id="rId17" Type="http://schemas.openxmlformats.org/officeDocument/2006/relationships/hyperlink" Target="http://online.zakon.kz/Document/?doc_id=31674237" TargetMode="External"/><Relationship Id="rId25" Type="http://schemas.openxmlformats.org/officeDocument/2006/relationships/hyperlink" Target="http://online.zakon.kz/Document/?doc_id=31674237" TargetMode="External"/><Relationship Id="rId33" Type="http://schemas.openxmlformats.org/officeDocument/2006/relationships/hyperlink" Target="http://online.zakon.kz/Document/?doc_id=31674237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4237" TargetMode="External"/><Relationship Id="rId20" Type="http://schemas.openxmlformats.org/officeDocument/2006/relationships/hyperlink" Target="http://online.zakon.kz/Document/?doc_id=31674237" TargetMode="External"/><Relationship Id="rId29" Type="http://schemas.openxmlformats.org/officeDocument/2006/relationships/hyperlink" Target="http://online.zakon.kz/Document/?doc_id=31674237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4237" TargetMode="External"/><Relationship Id="rId24" Type="http://schemas.openxmlformats.org/officeDocument/2006/relationships/hyperlink" Target="http://online.zakon.kz/Document/?doc_id=31674237" TargetMode="External"/><Relationship Id="rId32" Type="http://schemas.openxmlformats.org/officeDocument/2006/relationships/hyperlink" Target="http://online.zakon.kz/Document/?doc_id=31674237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74237" TargetMode="External"/><Relationship Id="rId23" Type="http://schemas.openxmlformats.org/officeDocument/2006/relationships/hyperlink" Target="http://online.zakon.kz/Document/?doc_id=31674237" TargetMode="External"/><Relationship Id="rId28" Type="http://schemas.openxmlformats.org/officeDocument/2006/relationships/hyperlink" Target="http://online.zakon.kz/Document/?doc_id=3167423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674237" TargetMode="External"/><Relationship Id="rId19" Type="http://schemas.openxmlformats.org/officeDocument/2006/relationships/hyperlink" Target="http://online.zakon.kz/Document/?doc_id=31674237" TargetMode="External"/><Relationship Id="rId31" Type="http://schemas.openxmlformats.org/officeDocument/2006/relationships/hyperlink" Target="http://online.zakon.kz/Document/?doc_id=316742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4237" TargetMode="External"/><Relationship Id="rId14" Type="http://schemas.openxmlformats.org/officeDocument/2006/relationships/hyperlink" Target="http://online.zakon.kz/Document/?doc_id=31674237" TargetMode="External"/><Relationship Id="rId22" Type="http://schemas.openxmlformats.org/officeDocument/2006/relationships/hyperlink" Target="http://online.zakon.kz/Document/?doc_id=31674237" TargetMode="External"/><Relationship Id="rId27" Type="http://schemas.openxmlformats.org/officeDocument/2006/relationships/hyperlink" Target="http://online.zakon.kz/Document/?doc_id=31674237" TargetMode="External"/><Relationship Id="rId30" Type="http://schemas.openxmlformats.org/officeDocument/2006/relationships/hyperlink" Target="http://online.zakon.kz/Document/?doc_id=31674237" TargetMode="External"/><Relationship Id="rId35" Type="http://schemas.openxmlformats.org/officeDocument/2006/relationships/hyperlink" Target="http://online.zakon.kz/Document/?doc_id=34898953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688</Words>
  <Characters>7352</Characters>
  <Application>Microsoft Office Word</Application>
  <DocSecurity>0</DocSecurity>
  <Lines>61</Lines>
  <Paragraphs>16</Paragraphs>
  <ScaleCrop>false</ScaleCrop>
  <Company>SPecialiST RePack</Company>
  <LinksUpToDate>false</LinksUpToDate>
  <CharactersWithSpaces>8024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16 августа 2023 года № 434 «О внесении изменений и дополнения в приказ Министра по инвестициям и развитию Республики Казахстан от 30 декабря 2014 года № 342 «Об утверждении Правил обеспечения промышленной безопасности для опасных производственных объектов в нефтехимической, нефтеперерабатывающей отраслях, нефтебаз и автозаправочных станций»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2024-06-04T03:33:00Z</dcterms:created>
  <dcterms:modified xsi:type="dcterms:W3CDTF">2024-06-04T03:33:00Z</dcterms:modified>
</cp:coreProperties>
</file>