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D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</w:t>
      </w:r>
      <w:r>
        <w:rPr>
          <w:rStyle w:val="s0"/>
          <w:b/>
          <w:bCs/>
        </w:rPr>
        <w:t>счете годовой эффективной ставки вознаграждения» (с изменениями и дополнениями по состоянию на 30.03.2019 г.) (утратило силу)</w:t>
      </w:r>
    </w:p>
    <w:p w:rsidR="00000000" w:rsidRDefault="00986D3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июля 2016 года № 13870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июля 2016 г.</w:t>
        </w:r>
      </w:hyperlink>
      <w:r>
        <w:rPr>
          <w:rStyle w:val="s0"/>
        </w:rPr>
        <w:t xml:space="preserve">; </w:t>
      </w:r>
      <w:hyperlink r:id="rId8" w:anchor="!/doc/104650/rus" w:history="1">
        <w:r>
          <w:rPr>
            <w:rStyle w:val="a4"/>
          </w:rPr>
          <w:t xml:space="preserve">ИС «Эталонный контрольный банк НПА </w:t>
        </w:r>
        <w:r>
          <w:rPr>
            <w:rStyle w:val="a4"/>
          </w:rPr>
          <w:t>РК в электронном виде» 23 августа 2016 г.</w:t>
        </w:r>
      </w:hyperlink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ноября 2019 года № 218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>Внесены изменени</w:t>
      </w:r>
      <w:r>
        <w:rPr>
          <w:rStyle w:val="s0"/>
        </w:rPr>
        <w:t>я: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186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6D3C">
      <w:pPr>
        <w:ind w:firstLine="397"/>
        <w:jc w:val="both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30.03.19 г. № 45 (введено в действие по истечении десяти календарных дней после дня </w:t>
      </w:r>
      <w:r>
        <w:rPr>
          <w:rStyle w:val="s0"/>
        </w:rPr>
        <w:t xml:space="preserve">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из договоров банковского займа, заключенных по истечении одного месяца со дня </w:t>
      </w:r>
      <w:hyperlink r:id="rId14" w:anchor="sub_id=30000" w:history="1">
        <w:r>
          <w:rPr>
            <w:rStyle w:val="a4"/>
          </w:rPr>
          <w:t>введения в действие</w:t>
        </w:r>
      </w:hyperlink>
      <w:r>
        <w:rPr>
          <w:rStyle w:val="s0"/>
        </w:rPr>
        <w:t xml:space="preserve"> Закона).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986D3C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30.03.19 г.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p w:rsidR="00000000" w:rsidRDefault="00986D3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D3C" w:rsidRDefault="00986D3C" w:rsidP="00986D3C">
      <w:r>
        <w:separator/>
      </w:r>
    </w:p>
  </w:endnote>
  <w:endnote w:type="continuationSeparator" w:id="0">
    <w:p w:rsidR="00986D3C" w:rsidRDefault="00986D3C" w:rsidP="00986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D3C" w:rsidRDefault="00986D3C" w:rsidP="00986D3C">
      <w:r>
        <w:separator/>
      </w:r>
    </w:p>
  </w:footnote>
  <w:footnote w:type="continuationSeparator" w:id="0">
    <w:p w:rsidR="00986D3C" w:rsidRDefault="00986D3C" w:rsidP="00986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 w:rsidP="00986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D3C" w:rsidRPr="00986D3C" w:rsidRDefault="00986D3C" w:rsidP="00986D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(с изменениями и дополнениями по состоянию на 30.03.2019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D3C" w:rsidRDefault="00986D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D3C"/>
    <w:rsid w:val="00986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D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D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D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D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D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D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848429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600013870" TargetMode="External"/><Relationship Id="rId12" Type="http://schemas.openxmlformats.org/officeDocument/2006/relationships/hyperlink" Target="http://online.zakon.kz/Document/?doc_id=3945518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8539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386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296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52043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5498" TargetMode="External"/><Relationship Id="rId14" Type="http://schemas.openxmlformats.org/officeDocument/2006/relationships/hyperlink" Target="http://online.zakon.kz/Document/?doc_id=3437894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(с изменениями и дополнениями по состоянию на 30.03.2019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2023-10-13T17:35:00Z</dcterms:created>
  <dcterms:modified xsi:type="dcterms:W3CDTF">2023-10-13T17:35:00Z</dcterms:modified>
</cp:coreProperties>
</file>