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241EE">
      <w:pPr>
        <w:pStyle w:val="pc"/>
      </w:pPr>
      <w:bookmarkStart w:id="0" w:name="_GoBack"/>
      <w:bookmarkEnd w:id="0"/>
      <w:r>
        <w:rPr>
          <w:rStyle w:val="s1"/>
        </w:rPr>
        <w:t>Решение Комиссии Таможенного союза от 9 декабря 2011 года № 877</w:t>
      </w:r>
      <w:r>
        <w:br/>
      </w:r>
      <w:r>
        <w:rPr>
          <w:rStyle w:val="s1"/>
        </w:rPr>
        <w:t>О принятии технического регламента Таможенного союза «О безопасности колесных транспортных средств»</w:t>
      </w:r>
      <w:r>
        <w:br/>
      </w:r>
      <w:r>
        <w:rPr>
          <w:rStyle w:val="s1"/>
        </w:rPr>
        <w:t>(г. Москва)</w:t>
      </w:r>
      <w:r>
        <w:rPr>
          <w:b/>
          <w:bCs/>
        </w:rPr>
        <w:br/>
      </w: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17.08.2021 г.)</w:t>
      </w:r>
    </w:p>
    <w:p w:rsidR="00000000" w:rsidRDefault="006241EE">
      <w:pPr>
        <w:pStyle w:val="pc"/>
      </w:pPr>
      <w:r>
        <w:t> </w:t>
      </w:r>
    </w:p>
    <w:p w:rsidR="00000000" w:rsidRDefault="006241EE">
      <w:pPr>
        <w:pStyle w:val="pji"/>
      </w:pPr>
      <w:r>
        <w:rPr>
          <w:rStyle w:val="s3"/>
        </w:rPr>
        <w:t>Данная редакция действовала до внесения изменений от 21 декабря 2021 года</w:t>
      </w:r>
    </w:p>
    <w:p w:rsidR="00000000" w:rsidRDefault="006241EE">
      <w:pPr>
        <w:pStyle w:val="pc"/>
      </w:pPr>
      <w:r>
        <w:t> </w:t>
      </w:r>
    </w:p>
    <w:p w:rsidR="00000000" w:rsidRDefault="006241EE">
      <w:pPr>
        <w:pStyle w:val="pj"/>
      </w:pPr>
      <w:r>
        <w:rPr>
          <w:rStyle w:val="s0"/>
        </w:rPr>
        <w:t xml:space="preserve">В соответствии со </w:t>
      </w:r>
      <w:hyperlink r:id="rId8" w:anchor="sub_id=130000" w:history="1">
        <w:r>
          <w:rPr>
            <w:rStyle w:val="a4"/>
          </w:rPr>
          <w:t>статьей 13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Комиссия Таможенного союза (далее - Комиссия) </w:t>
      </w:r>
      <w:r>
        <w:rPr>
          <w:rStyle w:val="s0"/>
          <w:b/>
          <w:bCs/>
        </w:rPr>
        <w:t>решила</w:t>
      </w:r>
      <w:r>
        <w:rPr>
          <w:rStyle w:val="s0"/>
        </w:rPr>
        <w:t>:</w:t>
      </w:r>
    </w:p>
    <w:p w:rsidR="00000000" w:rsidRDefault="006241EE">
      <w:pPr>
        <w:pStyle w:val="pj"/>
      </w:pPr>
      <w:r>
        <w:rPr>
          <w:rStyle w:val="s0"/>
        </w:rPr>
        <w:t xml:space="preserve">1. Принять </w:t>
      </w:r>
      <w:hyperlink r:id="rId9" w:history="1">
        <w:r>
          <w:rPr>
            <w:rStyle w:val="a4"/>
          </w:rPr>
          <w:t>технический регламент</w:t>
        </w:r>
      </w:hyperlink>
      <w:r>
        <w:rPr>
          <w:rStyle w:val="s0"/>
        </w:rPr>
        <w:t xml:space="preserve"> Таможенного союза «О безопасности колесных транспортных средств» (ТР ТС 018/2011) (прилагается).</w:t>
      </w:r>
    </w:p>
    <w:p w:rsidR="00000000" w:rsidRDefault="006241EE">
      <w:pPr>
        <w:pStyle w:val="pj"/>
      </w:pPr>
      <w:bookmarkStart w:id="1" w:name="SUB200"/>
      <w:bookmarkEnd w:id="1"/>
      <w:r>
        <w:rPr>
          <w:rStyle w:val="s0"/>
        </w:rPr>
        <w:t xml:space="preserve">2. Утратил силу в соответствии с </w:t>
      </w:r>
      <w:hyperlink r:id="rId10" w:history="1">
        <w:r>
          <w:rPr>
            <w:rStyle w:val="a4"/>
          </w:rPr>
          <w:t>Решение</w:t>
        </w:r>
        <w:r>
          <w:rPr>
            <w:rStyle w:val="a4"/>
          </w:rPr>
          <w:t>м</w:t>
        </w:r>
      </w:hyperlink>
      <w:r>
        <w:rPr>
          <w:rStyle w:val="s0"/>
        </w:rPr>
        <w:t xml:space="preserve"> Коллегии Евразийской экономической комиссии от 25.12.18 г. № 219 </w:t>
      </w:r>
      <w:r>
        <w:rPr>
          <w:rStyle w:val="s3"/>
        </w:rPr>
        <w:t>(</w:t>
      </w:r>
      <w:hyperlink r:id="rId11" w:anchor="sub_id=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41EE">
      <w:pPr>
        <w:pStyle w:val="pj"/>
      </w:pPr>
      <w:r>
        <w:rPr>
          <w:rStyle w:val="s0"/>
        </w:rPr>
        <w:t>3. Установить:</w:t>
      </w:r>
    </w:p>
    <w:p w:rsidR="00000000" w:rsidRDefault="006241EE">
      <w:pPr>
        <w:pStyle w:val="pj"/>
      </w:pPr>
      <w:r>
        <w:rPr>
          <w:rStyle w:val="s0"/>
        </w:rPr>
        <w:t xml:space="preserve">3.1. </w:t>
      </w:r>
      <w:hyperlink r:id="rId12" w:history="1">
        <w:r>
          <w:rPr>
            <w:rStyle w:val="a4"/>
          </w:rPr>
          <w:t>Технич</w:t>
        </w:r>
        <w:r>
          <w:rPr>
            <w:rStyle w:val="a4"/>
          </w:rPr>
          <w:t>еский регламент</w:t>
        </w:r>
      </w:hyperlink>
      <w:r>
        <w:rPr>
          <w:rStyle w:val="s0"/>
        </w:rPr>
        <w:t xml:space="preserve"> Таможенного союза «О безопасности колесных транспортных средств» (далее - Технический регламент) вступает в силу с 1 января 2015 года.</w:t>
      </w:r>
    </w:p>
    <w:p w:rsidR="00000000" w:rsidRDefault="006241EE">
      <w:pPr>
        <w:pStyle w:val="pj"/>
      </w:pPr>
      <w:bookmarkStart w:id="2" w:name="SUB302"/>
      <w:bookmarkEnd w:id="2"/>
      <w:r>
        <w:rPr>
          <w:rStyle w:val="s0"/>
        </w:rPr>
        <w:t>3.2. Документы об оценке (подтверждении) соответствия обязательным требованиям, установленным нормативным</w:t>
      </w:r>
      <w:r>
        <w:rPr>
          <w:rStyle w:val="s0"/>
        </w:rPr>
        <w:t>и правовыми актами Таможенного союза или законодательством государства - члена Таможенного союза, выданные или принятые в отношении продукции, являющейся объектом технического регулирования Технического регламента (далее - продукция) до дня вступления в си</w:t>
      </w:r>
      <w:r>
        <w:rPr>
          <w:rStyle w:val="s0"/>
        </w:rPr>
        <w:t>лу Технического регламента, действительны до окончания срока их действия, но не позднее 1 июля 2016 года, за исключением партий транспортных средств и компонентов, срок действия которых ограничивается количественной квоты.</w:t>
      </w:r>
    </w:p>
    <w:p w:rsidR="00000000" w:rsidRDefault="006241EE">
      <w:pPr>
        <w:pStyle w:val="pj"/>
      </w:pPr>
      <w:r>
        <w:rPr>
          <w:rStyle w:val="s0"/>
        </w:rPr>
        <w:t>Указанные документы, выданные или</w:t>
      </w:r>
      <w:r>
        <w:rPr>
          <w:rStyle w:val="s0"/>
        </w:rPr>
        <w:t xml:space="preserve"> принятые до дня официального опубликования настоящего Решения, действительны до окончания срока их действия.</w:t>
      </w:r>
    </w:p>
    <w:p w:rsidR="00000000" w:rsidRDefault="006241EE">
      <w:pPr>
        <w:pStyle w:val="pj"/>
      </w:pPr>
      <w:r>
        <w:rPr>
          <w:rStyle w:val="s0"/>
        </w:rPr>
        <w:t>Также данные документы могут использоваться в качестве доказательственных материалов в целях проверки выполнения требований настоящего техническог</w:t>
      </w:r>
      <w:r>
        <w:rPr>
          <w:rStyle w:val="s0"/>
        </w:rPr>
        <w:t>о регламента, в том числе, для распространения действия указанных документов на территорию всех государств - членов Таможенного союза.</w:t>
      </w:r>
    </w:p>
    <w:p w:rsidR="00000000" w:rsidRDefault="006241EE">
      <w:pPr>
        <w:pStyle w:val="pj"/>
      </w:pPr>
      <w:r>
        <w:rPr>
          <w:rStyle w:val="s0"/>
        </w:rPr>
        <w:t>При распространении указанных в абзаце первом настоящего пункта документов в порядке, установленном настоящим техническим</w:t>
      </w:r>
      <w:r>
        <w:rPr>
          <w:rStyle w:val="s0"/>
        </w:rPr>
        <w:t xml:space="preserve"> регламентом, применяются требования, действовавшие до вступления в силу настоящего технического регламента на момент оформления указанных документов. В подобном случае срок действия документа, выданного на основании технического регламента, должен соответ</w:t>
      </w:r>
      <w:r>
        <w:rPr>
          <w:rStyle w:val="s0"/>
        </w:rPr>
        <w:t>ствовать сроку действия документа, действовавшего до вступления в силу настоящего технического регламента.</w:t>
      </w:r>
    </w:p>
    <w:p w:rsidR="00000000" w:rsidRDefault="006241EE">
      <w:pPr>
        <w:pStyle w:val="pj"/>
      </w:pPr>
      <w:r>
        <w:rPr>
          <w:rStyle w:val="s0"/>
        </w:rPr>
        <w:t>Со дня вступления в силу Технического регламента выдача или принятие документов об оценке (подтверждении) соответствия продукции обязательным требова</w:t>
      </w:r>
      <w:r>
        <w:rPr>
          <w:rStyle w:val="s0"/>
        </w:rPr>
        <w:t>ниям, ранее установленным нормативными правовыми актами Таможенного союза или законодательством государства - члена Таможенного союза, не допускается;</w:t>
      </w:r>
    </w:p>
    <w:p w:rsidR="00000000" w:rsidRDefault="006241EE">
      <w:pPr>
        <w:pStyle w:val="pji"/>
      </w:pPr>
      <w:r>
        <w:rPr>
          <w:rStyle w:val="s3"/>
        </w:rPr>
        <w:t xml:space="preserve">Пункт дополнен подпунктами 3.2.1 и 3.2.2 в соответствии с </w:t>
      </w:r>
      <w:hyperlink r:id="rId13" w:history="1">
        <w:r>
          <w:rPr>
            <w:rStyle w:val="a4"/>
            <w:i/>
            <w:iCs/>
          </w:rPr>
          <w:t>Решением</w:t>
        </w:r>
      </w:hyperlink>
      <w:r>
        <w:rPr>
          <w:rStyle w:val="s3"/>
        </w:rPr>
        <w:t xml:space="preserve"> Совета Евразийской экономической комиссии от 28.05.15 г. № 27; внесены изменения в соответствии с </w:t>
      </w:r>
      <w:hyperlink r:id="rId14" w:history="1">
        <w:r>
          <w:rPr>
            <w:rStyle w:val="a4"/>
            <w:i/>
            <w:iCs/>
          </w:rPr>
          <w:t>Решением</w:t>
        </w:r>
      </w:hyperlink>
      <w:r>
        <w:rPr>
          <w:rStyle w:val="s3"/>
        </w:rPr>
        <w:t xml:space="preserve"> Коллегии Евразийской экономической комиссии от 07.06.16 г</w:t>
      </w:r>
      <w:r>
        <w:rPr>
          <w:rStyle w:val="s3"/>
        </w:rPr>
        <w:t>. № 65 (</w:t>
      </w:r>
      <w:hyperlink r:id="rId15" w:anchor="sub_id=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41EE">
      <w:pPr>
        <w:pStyle w:val="pj"/>
      </w:pPr>
      <w:r>
        <w:rPr>
          <w:rStyle w:val="s0"/>
        </w:rPr>
        <w:t>3.2.1 Одобрения типа транспортных средств категорий N3, О3 и О4, выданные в Республике Беларусь и Российской Федерации в соответствии с национальным законодательством до вступления в силу Технического регламента, имеют прямое действие на территории Республ</w:t>
      </w:r>
      <w:r>
        <w:rPr>
          <w:rStyle w:val="s0"/>
        </w:rPr>
        <w:t>ики Казахстан до окончания срока их действия, но не позднее 1 июля 2016 года;</w:t>
      </w:r>
    </w:p>
    <w:p w:rsidR="00000000" w:rsidRDefault="006241EE">
      <w:pPr>
        <w:pStyle w:val="pj"/>
      </w:pPr>
      <w:r>
        <w:rPr>
          <w:rStyle w:val="s0"/>
        </w:rPr>
        <w:t>3.2.2. Количество транспортных средств, выпущенных в обращение на территории Республики Казахстан в соответствии подпунктом 3.2.1 настоящего Решения, не может превышать для катег</w:t>
      </w:r>
      <w:r>
        <w:rPr>
          <w:rStyle w:val="s0"/>
        </w:rPr>
        <w:t>ории N3 - 2100 штук, для категорий О3 и О4 - 2100 штук.</w:t>
      </w:r>
    </w:p>
    <w:p w:rsidR="00000000" w:rsidRDefault="006241EE">
      <w:pPr>
        <w:pStyle w:val="pji"/>
      </w:pPr>
      <w:r>
        <w:rPr>
          <w:rStyle w:val="s3"/>
        </w:rPr>
        <w:t xml:space="preserve">Пункт дополнен подпунктами 3.2.3 и 3.2.4 в соответствии с </w:t>
      </w:r>
      <w:hyperlink r:id="rId16" w:history="1">
        <w:r>
          <w:rPr>
            <w:rStyle w:val="a4"/>
            <w:i/>
            <w:iCs/>
          </w:rPr>
          <w:t>Решением</w:t>
        </w:r>
      </w:hyperlink>
      <w:r>
        <w:rPr>
          <w:rStyle w:val="s3"/>
        </w:rPr>
        <w:t xml:space="preserve"> Коллегии Евразийской экономической комиссии от 07.06.16 г. № 65 </w:t>
      </w:r>
    </w:p>
    <w:p w:rsidR="00000000" w:rsidRDefault="006241EE">
      <w:pPr>
        <w:pStyle w:val="pj"/>
      </w:pPr>
      <w:r>
        <w:rPr>
          <w:rStyle w:val="s0"/>
        </w:rPr>
        <w:t>3.2</w:t>
      </w:r>
      <w:r>
        <w:rPr>
          <w:rStyle w:val="s0"/>
        </w:rPr>
        <w:t>.3. Документы об оценке (подтверждении) соответствия обязательным требованиям, установленным законодательством Республики Казахстан, выданные или принятые до дня вступления в силу Технического регламента в отношении транспортного средства «Toyota» (коммерч</w:t>
      </w:r>
      <w:r>
        <w:rPr>
          <w:rStyle w:val="s0"/>
        </w:rPr>
        <w:t>еское наименование «Fortuner»), производимого на территории Республики Казахстан, действительны до 28 марта 2017 года включительно;</w:t>
      </w:r>
    </w:p>
    <w:p w:rsidR="00000000" w:rsidRDefault="006241EE">
      <w:pPr>
        <w:pStyle w:val="pj"/>
      </w:pPr>
      <w:r>
        <w:rPr>
          <w:rStyle w:val="s0"/>
        </w:rPr>
        <w:t>3.2.4. Количество транспортных средств, выпущенных в обращение с 1 июля 2016 года на территории Республики Казахстан в соотв</w:t>
      </w:r>
      <w:r>
        <w:rPr>
          <w:rStyle w:val="s0"/>
        </w:rPr>
        <w:t>етствии с подпунктом 3.2.3 настоящего Решения, не может превышать 1900 штук.</w:t>
      </w:r>
    </w:p>
    <w:p w:rsidR="00000000" w:rsidRDefault="006241EE">
      <w:pPr>
        <w:pStyle w:val="pji"/>
      </w:pPr>
      <w:r>
        <w:rPr>
          <w:rStyle w:val="s3"/>
        </w:rPr>
        <w:t xml:space="preserve">Пункт дополнен подпунктом 3.2.5 в соответствии с </w:t>
      </w:r>
      <w:hyperlink r:id="rId17" w:history="1">
        <w:r>
          <w:rPr>
            <w:rStyle w:val="a4"/>
            <w:i/>
            <w:iCs/>
          </w:rPr>
          <w:t>Решением</w:t>
        </w:r>
      </w:hyperlink>
      <w:r>
        <w:rPr>
          <w:rStyle w:val="s3"/>
        </w:rPr>
        <w:t xml:space="preserve"> Коллегии Евразийской экономической комиссии от 17.08.21 </w:t>
      </w:r>
      <w:r>
        <w:rPr>
          <w:rStyle w:val="s3"/>
        </w:rPr>
        <w:t>г. № 101</w:t>
      </w:r>
    </w:p>
    <w:p w:rsidR="00000000" w:rsidRDefault="006241EE">
      <w:pPr>
        <w:pStyle w:val="pj"/>
      </w:pPr>
      <w:r>
        <w:rPr>
          <w:rStyle w:val="s0"/>
        </w:rPr>
        <w:t>3.2.5. До 30 июня 2022 г. включительно допускается не оснащать устройством или системой вызова экстренных оперативных служб транспортные средства (шасси) категорий M</w:t>
      </w:r>
      <w:r>
        <w:rPr>
          <w:rStyle w:val="s0"/>
          <w:vertAlign w:val="subscript"/>
        </w:rPr>
        <w:t>1</w:t>
      </w:r>
      <w:r>
        <w:rPr>
          <w:rStyle w:val="s0"/>
        </w:rPr>
        <w:t>, M</w:t>
      </w:r>
      <w:r>
        <w:rPr>
          <w:rStyle w:val="s0"/>
          <w:vertAlign w:val="subscript"/>
        </w:rPr>
        <w:t>2</w:t>
      </w:r>
      <w:r>
        <w:rPr>
          <w:rStyle w:val="s0"/>
        </w:rPr>
        <w:t>, M</w:t>
      </w:r>
      <w:r>
        <w:rPr>
          <w:rStyle w:val="s0"/>
          <w:vertAlign w:val="subscript"/>
        </w:rPr>
        <w:t>3</w:t>
      </w:r>
      <w:r>
        <w:rPr>
          <w:rStyle w:val="s0"/>
        </w:rPr>
        <w:t>, N</w:t>
      </w:r>
      <w:r>
        <w:rPr>
          <w:rStyle w:val="s0"/>
          <w:vertAlign w:val="subscript"/>
        </w:rPr>
        <w:t>1</w:t>
      </w:r>
      <w:r>
        <w:rPr>
          <w:rStyle w:val="s0"/>
        </w:rPr>
        <w:t>, N</w:t>
      </w:r>
      <w:r>
        <w:rPr>
          <w:rStyle w:val="s0"/>
          <w:vertAlign w:val="subscript"/>
        </w:rPr>
        <w:t>2</w:t>
      </w:r>
      <w:r>
        <w:rPr>
          <w:rStyle w:val="s0"/>
        </w:rPr>
        <w:t xml:space="preserve"> и N</w:t>
      </w:r>
      <w:r>
        <w:rPr>
          <w:rStyle w:val="s0"/>
          <w:vertAlign w:val="subscript"/>
        </w:rPr>
        <w:t>3</w:t>
      </w:r>
      <w:r>
        <w:rPr>
          <w:rStyle w:val="s0"/>
        </w:rPr>
        <w:t xml:space="preserve"> (за исключением транспортных средств для перевозки опасных </w:t>
      </w:r>
      <w:r>
        <w:rPr>
          <w:rStyle w:val="s0"/>
        </w:rPr>
        <w:t>грузов и транспортных средств, специально предназначенных для перевозки детей), которые изготовлены на таможенной территории Евразийского экономического союза и в отношении которых действуют одобрения типа транспортного средства (одобрения типа шасси).</w:t>
      </w:r>
    </w:p>
    <w:p w:rsidR="00000000" w:rsidRDefault="006241EE">
      <w:pPr>
        <w:pStyle w:val="pj"/>
      </w:pPr>
      <w:r>
        <w:rPr>
          <w:rStyle w:val="s0"/>
        </w:rPr>
        <w:t>Ука</w:t>
      </w:r>
      <w:r>
        <w:rPr>
          <w:rStyle w:val="s0"/>
        </w:rPr>
        <w:t>занные транспортные средства (шасси) должны быть дооснащены устройством или системой вызова экстренных оперативных служб изготовителем транспортного средства (шасси) до 31 декабря 2022 г.</w:t>
      </w:r>
    </w:p>
    <w:p w:rsidR="00000000" w:rsidRDefault="006241EE">
      <w:pPr>
        <w:pStyle w:val="pj"/>
      </w:pPr>
      <w:r>
        <w:rPr>
          <w:rStyle w:val="s0"/>
        </w:rPr>
        <w:t>Реализация таких транспортных средств (шасси), выпущенных в обращени</w:t>
      </w:r>
      <w:r>
        <w:rPr>
          <w:rStyle w:val="s0"/>
        </w:rPr>
        <w:t>е с даты вступления настоящего Решения в силу до 30 июня 2022 г.без устройств или систем вызова экстренных оперативных служб, осуществляется при условии обязательного информирования потребителей о необходимости дооснащения транспортного средства (шасси) ус</w:t>
      </w:r>
      <w:r>
        <w:rPr>
          <w:rStyle w:val="s0"/>
        </w:rPr>
        <w:t>тройством или системой вызова экстренных оперативных служб и указания в электронном паспорте транспортного средства (электронном паспорте шасси транспортного средства) соответствующей информации.</w:t>
      </w:r>
    </w:p>
    <w:p w:rsidR="00000000" w:rsidRDefault="006241EE">
      <w:pPr>
        <w:pStyle w:val="pj"/>
      </w:pPr>
      <w:r>
        <w:rPr>
          <w:rStyle w:val="s0"/>
        </w:rPr>
        <w:t>Контроль за исполнением настоящего Решения обеспечивается уп</w:t>
      </w:r>
      <w:r>
        <w:rPr>
          <w:rStyle w:val="s0"/>
        </w:rPr>
        <w:t>олномоченными органами государств - членов Евразийского экономического союза в соответствии с законодательством государств-членов.</w:t>
      </w:r>
    </w:p>
    <w:p w:rsidR="00000000" w:rsidRDefault="006241EE">
      <w:pPr>
        <w:pStyle w:val="pj"/>
      </w:pPr>
      <w:r>
        <w:rPr>
          <w:rStyle w:val="s0"/>
        </w:rPr>
        <w:t>3.3. До 1 июля 2016 года допускается производство и выпуск в обращение продукции в соответствии с обязательными требованиями,</w:t>
      </w:r>
      <w:r>
        <w:rPr>
          <w:rStyle w:val="s0"/>
        </w:rPr>
        <w:t xml:space="preserve"> ранее установленными нормативными правовыми актами Таможенного союза или законодательством государства - члена Таможенного союза, при наличии документов об оценке (подтверждении) соответствия продукции указанным обязательным требованиям, выданных или прин</w:t>
      </w:r>
      <w:r>
        <w:rPr>
          <w:rStyle w:val="s0"/>
        </w:rPr>
        <w:t>ятых до дня вступления в силу Технического регламента.</w:t>
      </w:r>
    </w:p>
    <w:p w:rsidR="00000000" w:rsidRDefault="006241EE">
      <w:pPr>
        <w:pStyle w:val="pj"/>
      </w:pPr>
      <w:r>
        <w:rPr>
          <w:rStyle w:val="s0"/>
        </w:rPr>
        <w:t xml:space="preserve">Указанная продукция маркируется национальным знаком соответствия (знаком обращения на рынке) в соответствии с законодательством государств - членов Таможенного союза или с </w:t>
      </w:r>
      <w:hyperlink r:id="rId18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Комиссии от 20 сентября 2010 года № 386.</w:t>
      </w:r>
    </w:p>
    <w:p w:rsidR="00000000" w:rsidRDefault="006241EE">
      <w:pPr>
        <w:pStyle w:val="pj"/>
      </w:pPr>
      <w:r>
        <w:rPr>
          <w:rStyle w:val="s0"/>
        </w:rPr>
        <w:t>Маркировка такой продукции единым знаком обращения продукции на рынке государств - членов Таможенного союза не допускается;</w:t>
      </w:r>
    </w:p>
    <w:p w:rsidR="00000000" w:rsidRDefault="006241EE">
      <w:pPr>
        <w:pStyle w:val="pj"/>
      </w:pPr>
      <w:r>
        <w:rPr>
          <w:rStyle w:val="s0"/>
        </w:rPr>
        <w:t>3.4. Обращение продукции, выпущенной в обращен</w:t>
      </w:r>
      <w:r>
        <w:rPr>
          <w:rStyle w:val="s0"/>
        </w:rPr>
        <w:t xml:space="preserve">ие в период действия документов об оценке (подтверждении) соответствия, указанных в </w:t>
      </w:r>
      <w:hyperlink w:anchor="sub302" w:history="1">
        <w:r>
          <w:rPr>
            <w:rStyle w:val="a4"/>
          </w:rPr>
          <w:t>подпункте 3.2</w:t>
        </w:r>
      </w:hyperlink>
      <w:r>
        <w:rPr>
          <w:rStyle w:val="s0"/>
        </w:rPr>
        <w:t xml:space="preserve"> настоящего Решения, допускается в течение срока годности (срока службы) продукции, установленного в соответствии с законодательст</w:t>
      </w:r>
      <w:r>
        <w:rPr>
          <w:rStyle w:val="s0"/>
        </w:rPr>
        <w:t>вом государства - члена Таможенного союза.</w:t>
      </w:r>
    </w:p>
    <w:p w:rsidR="00000000" w:rsidRDefault="006241EE">
      <w:pPr>
        <w:pStyle w:val="pj"/>
      </w:pPr>
      <w:r>
        <w:rPr>
          <w:rStyle w:val="s0"/>
        </w:rPr>
        <w:t>4. Секретариату Комиссии совместно со Сторонами подготовить проект Плана мероприятий, необходимых для реализации Технического регламента, и в трехмесячный срок со дня вступления в силу настоящего Решения обеспечит</w:t>
      </w:r>
      <w:r>
        <w:rPr>
          <w:rStyle w:val="s0"/>
        </w:rPr>
        <w:t>ь представление его на утверждение Комиссии в установленном порядке.</w:t>
      </w:r>
    </w:p>
    <w:p w:rsidR="00000000" w:rsidRDefault="006241EE">
      <w:pPr>
        <w:pStyle w:val="pj"/>
      </w:pPr>
      <w:r>
        <w:rPr>
          <w:rStyle w:val="s0"/>
        </w:rPr>
        <w:t>5. Российской Стороне:</w:t>
      </w:r>
    </w:p>
    <w:p w:rsidR="00000000" w:rsidRDefault="006241EE">
      <w:pPr>
        <w:pStyle w:val="pj"/>
      </w:pPr>
      <w:r>
        <w:rPr>
          <w:rStyle w:val="s0"/>
        </w:rPr>
        <w:t>5.1. Не реже одного раза в три года подготавливать предложения по внесению изменений в Технический регламент для его актуализации, связанной с выполнением Сторонами обязательств по участию в международных соглашениях по согласованию требований безопасности</w:t>
      </w:r>
      <w:r>
        <w:rPr>
          <w:rStyle w:val="s0"/>
        </w:rPr>
        <w:t xml:space="preserve"> в отношении транспортных средств.</w:t>
      </w:r>
    </w:p>
    <w:p w:rsidR="00000000" w:rsidRDefault="006241EE">
      <w:pPr>
        <w:pStyle w:val="pj"/>
      </w:pPr>
      <w:r>
        <w:rPr>
          <w:rStyle w:val="s0"/>
        </w:rPr>
        <w:t xml:space="preserve">5.2. Не реже одного раза в год обеспечивать актуализацию Перечней стандартов, указанных в </w:t>
      </w:r>
      <w:hyperlink w:anchor="sub200" w:history="1">
        <w:r>
          <w:rPr>
            <w:rStyle w:val="a4"/>
          </w:rPr>
          <w:t>пункте 2</w:t>
        </w:r>
      </w:hyperlink>
      <w:r>
        <w:rPr>
          <w:rStyle w:val="s0"/>
        </w:rPr>
        <w:t xml:space="preserve"> настоящего Решения, на основании мониторинга и результатов применения стандартов, содержащихс</w:t>
      </w:r>
      <w:r>
        <w:rPr>
          <w:rStyle w:val="s0"/>
        </w:rPr>
        <w:t>я в Перечнях, а также предложений органов Сторон.</w:t>
      </w:r>
    </w:p>
    <w:p w:rsidR="00000000" w:rsidRDefault="006241EE">
      <w:pPr>
        <w:pStyle w:val="pj"/>
      </w:pPr>
      <w:r>
        <w:rPr>
          <w:rStyle w:val="s0"/>
        </w:rPr>
        <w:t>5.3. С учетом предложений Сторон разработать и в установленном порядке внести на рассмотрение Комиссии проект программы по разработке (внесению изменений, пересмотру) межгосударственных стандартов.</w:t>
      </w:r>
    </w:p>
    <w:p w:rsidR="00000000" w:rsidRDefault="006241EE">
      <w:pPr>
        <w:pStyle w:val="pj"/>
      </w:pPr>
      <w:r>
        <w:rPr>
          <w:rStyle w:val="s0"/>
        </w:rPr>
        <w:t>5.4. В с</w:t>
      </w:r>
      <w:r>
        <w:rPr>
          <w:rStyle w:val="s0"/>
        </w:rPr>
        <w:t xml:space="preserve">рок до 31 декабря 2012 года разработать и представить в Комиссию для утверждения Правила заполнения бланков одобрений типа транспортного средства, одобрений типа шасси, уведомлений об отмене документа, удостоверяющего соответствие Техническому регламенту, </w:t>
      </w:r>
      <w:r>
        <w:rPr>
          <w:rStyle w:val="s0"/>
        </w:rPr>
        <w:t>свидетельств о безопасности конструкции транспортного средства и свидетельств о соответствии транспортного средства с внесенными в его конструкцию изменениями требованиям безопасности, содержащих, в том числе, требования к структуре номеров и формы бланков</w:t>
      </w:r>
      <w:r>
        <w:rPr>
          <w:rStyle w:val="s0"/>
        </w:rPr>
        <w:t xml:space="preserve"> указанных документов.</w:t>
      </w:r>
    </w:p>
    <w:p w:rsidR="00000000" w:rsidRDefault="006241EE">
      <w:pPr>
        <w:pStyle w:val="pj"/>
      </w:pPr>
      <w:r>
        <w:rPr>
          <w:rStyle w:val="s0"/>
        </w:rPr>
        <w:t>5.5. В трехмесячный срок со дня вступления в силу настоящего Решения разработать проект изменений в Технический регламент в целях установления требований к санитарному транспорту и представить его в Секретариат Комиссии в установленн</w:t>
      </w:r>
      <w:r>
        <w:rPr>
          <w:rStyle w:val="s0"/>
        </w:rPr>
        <w:t>ом порядке.</w:t>
      </w:r>
    </w:p>
    <w:p w:rsidR="00000000" w:rsidRDefault="006241EE">
      <w:pPr>
        <w:pStyle w:val="pj"/>
      </w:pPr>
      <w:r>
        <w:rPr>
          <w:rStyle w:val="s0"/>
        </w:rPr>
        <w:t>6. Сторонам:</w:t>
      </w:r>
    </w:p>
    <w:p w:rsidR="00000000" w:rsidRDefault="006241EE">
      <w:pPr>
        <w:pStyle w:val="pj"/>
      </w:pPr>
      <w:r>
        <w:rPr>
          <w:rStyle w:val="s0"/>
        </w:rPr>
        <w:t>6.1. До дня вступления в силу Технического регламента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регламента, и информировать об этом Комис</w:t>
      </w:r>
      <w:r>
        <w:rPr>
          <w:rStyle w:val="s0"/>
        </w:rPr>
        <w:t>сию;</w:t>
      </w:r>
    </w:p>
    <w:p w:rsidR="00000000" w:rsidRDefault="006241EE">
      <w:pPr>
        <w:pStyle w:val="pj"/>
      </w:pPr>
      <w:r>
        <w:rPr>
          <w:rStyle w:val="s0"/>
        </w:rPr>
        <w:t>6.2. Со дня вступления в силу Технического регламента обеспечить проведение государственного контроля (надзора) за соблюдением требований Технического регламента.</w:t>
      </w:r>
    </w:p>
    <w:p w:rsidR="00000000" w:rsidRDefault="006241EE">
      <w:pPr>
        <w:pStyle w:val="pj"/>
      </w:pPr>
      <w:r>
        <w:rPr>
          <w:rStyle w:val="s0"/>
        </w:rPr>
        <w:t xml:space="preserve">7. Настоящее Решение вступает в силу через 15 дней со дня его официального </w:t>
      </w:r>
      <w:hyperlink r:id="rId19" w:history="1">
        <w:r>
          <w:rPr>
            <w:rStyle w:val="a4"/>
          </w:rPr>
          <w:t>опубликования</w:t>
        </w:r>
      </w:hyperlink>
      <w:r>
        <w:rPr>
          <w:rStyle w:val="s0"/>
        </w:rPr>
        <w:t>, если в течение этого срока Стороны не заявят о приостановлении своего одобрения Технического регламента.</w:t>
      </w:r>
    </w:p>
    <w:p w:rsidR="00000000" w:rsidRDefault="006241EE">
      <w:pPr>
        <w:pStyle w:val="a3"/>
      </w:pPr>
      <w:r>
        <w:rPr>
          <w:rStyle w:val="s0"/>
        </w:rPr>
        <w:t> </w:t>
      </w:r>
    </w:p>
    <w:p w:rsidR="00000000" w:rsidRDefault="006241EE">
      <w:pPr>
        <w:pStyle w:val="a3"/>
      </w:pPr>
      <w:r>
        <w:rPr>
          <w:rStyle w:val="s0"/>
        </w:rPr>
        <w:t> </w:t>
      </w:r>
    </w:p>
    <w:p w:rsidR="00000000" w:rsidRDefault="006241EE">
      <w:pPr>
        <w:pStyle w:val="pc"/>
      </w:pPr>
      <w:r>
        <w:rPr>
          <w:rStyle w:val="s0"/>
          <w:b/>
          <w:bCs/>
        </w:rPr>
        <w:t>Члены Комиссии Таможенного союза:</w:t>
      </w:r>
    </w:p>
    <w:p w:rsidR="00000000" w:rsidRDefault="006241EE">
      <w:pPr>
        <w:pStyle w:val="pc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8"/>
        <w:gridCol w:w="3190"/>
        <w:gridCol w:w="3193"/>
      </w:tblGrid>
      <w:tr w:rsidR="00000000">
        <w:tc>
          <w:tcPr>
            <w:tcW w:w="16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241EE">
            <w:pPr>
              <w:pStyle w:val="pc"/>
            </w:pPr>
            <w:r>
              <w:rPr>
                <w:rStyle w:val="s0"/>
                <w:b/>
                <w:bCs/>
              </w:rPr>
              <w:t>От Республики</w:t>
            </w:r>
          </w:p>
          <w:p w:rsidR="00000000" w:rsidRDefault="006241EE">
            <w:pPr>
              <w:pStyle w:val="pc"/>
            </w:pPr>
            <w:r>
              <w:rPr>
                <w:rStyle w:val="s0"/>
                <w:b/>
                <w:bCs/>
              </w:rPr>
              <w:t>Беларусь</w:t>
            </w:r>
          </w:p>
        </w:tc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241EE">
            <w:pPr>
              <w:pStyle w:val="pc"/>
            </w:pPr>
            <w:r>
              <w:rPr>
                <w:rStyle w:val="s0"/>
                <w:b/>
                <w:bCs/>
              </w:rPr>
              <w:t>От Республики</w:t>
            </w:r>
          </w:p>
          <w:p w:rsidR="00000000" w:rsidRDefault="006241EE">
            <w:pPr>
              <w:pStyle w:val="pc"/>
            </w:pPr>
            <w:r>
              <w:rPr>
                <w:rStyle w:val="s0"/>
                <w:b/>
                <w:bCs/>
              </w:rPr>
              <w:t>Казахстан</w:t>
            </w:r>
          </w:p>
        </w:tc>
        <w:tc>
          <w:tcPr>
            <w:tcW w:w="16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241EE">
            <w:pPr>
              <w:pStyle w:val="pc"/>
            </w:pPr>
            <w:r>
              <w:rPr>
                <w:rStyle w:val="s0"/>
                <w:b/>
                <w:bCs/>
              </w:rPr>
              <w:t>От Российской</w:t>
            </w:r>
          </w:p>
          <w:p w:rsidR="00000000" w:rsidRDefault="006241EE">
            <w:pPr>
              <w:pStyle w:val="pc"/>
            </w:pPr>
            <w:r>
              <w:rPr>
                <w:rStyle w:val="s0"/>
                <w:b/>
                <w:bCs/>
              </w:rPr>
              <w:t>Федерации</w:t>
            </w:r>
          </w:p>
        </w:tc>
      </w:tr>
      <w:tr w:rsidR="00000000">
        <w:tc>
          <w:tcPr>
            <w:tcW w:w="16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241EE">
            <w:pPr>
              <w:pStyle w:val="pc"/>
            </w:pPr>
            <w:r>
              <w:t> </w:t>
            </w:r>
          </w:p>
          <w:p w:rsidR="00000000" w:rsidRDefault="006241EE">
            <w:pPr>
              <w:pStyle w:val="pc"/>
            </w:pPr>
            <w:r>
              <w:rPr>
                <w:rStyle w:val="s0"/>
                <w:b/>
                <w:bCs/>
              </w:rPr>
              <w:t>С. Румас</w:t>
            </w:r>
          </w:p>
        </w:tc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241EE">
            <w:pPr>
              <w:pStyle w:val="pc"/>
            </w:pPr>
            <w:r>
              <w:t> </w:t>
            </w:r>
          </w:p>
          <w:p w:rsidR="00000000" w:rsidRDefault="006241EE">
            <w:pPr>
              <w:pStyle w:val="pc"/>
            </w:pPr>
            <w:r>
              <w:rPr>
                <w:rStyle w:val="s0"/>
                <w:b/>
                <w:bCs/>
              </w:rPr>
              <w:t>У. Шукеев</w:t>
            </w:r>
          </w:p>
        </w:tc>
        <w:tc>
          <w:tcPr>
            <w:tcW w:w="16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241EE">
            <w:pPr>
              <w:pStyle w:val="pc"/>
            </w:pPr>
            <w:r>
              <w:t> </w:t>
            </w:r>
          </w:p>
          <w:p w:rsidR="00000000" w:rsidRDefault="006241EE">
            <w:pPr>
              <w:pStyle w:val="pc"/>
            </w:pPr>
            <w:r>
              <w:rPr>
                <w:rStyle w:val="s0"/>
                <w:b/>
                <w:bCs/>
              </w:rPr>
              <w:t>И. Шувалов</w:t>
            </w:r>
          </w:p>
        </w:tc>
      </w:tr>
    </w:tbl>
    <w:p w:rsidR="00000000" w:rsidRDefault="006241EE">
      <w:pPr>
        <w:pStyle w:val="a3"/>
      </w:pPr>
      <w:r>
        <w:t> </w:t>
      </w:r>
    </w:p>
    <w:p w:rsidR="00000000" w:rsidRDefault="006241EE">
      <w:pPr>
        <w:pStyle w:val="pj"/>
      </w:pPr>
      <w:r>
        <w:rPr>
          <w:rStyle w:val="s0"/>
        </w:rPr>
        <w:t xml:space="preserve">Перечень утратил силу в соответствии с </w:t>
      </w:r>
      <w:hyperlink r:id="rId20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25.12.18 г. № 2</w:t>
      </w:r>
      <w:r>
        <w:rPr>
          <w:rStyle w:val="s0"/>
        </w:rPr>
        <w:t xml:space="preserve">19 </w:t>
      </w:r>
      <w:r>
        <w:rPr>
          <w:rStyle w:val="s3"/>
        </w:rPr>
        <w:t>(</w:t>
      </w:r>
      <w:hyperlink r:id="rId21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41EE">
      <w:pPr>
        <w:pStyle w:val="pc"/>
      </w:pPr>
      <w:r>
        <w:t> </w:t>
      </w:r>
    </w:p>
    <w:p w:rsidR="00000000" w:rsidRDefault="006241EE">
      <w:pPr>
        <w:pStyle w:val="pj"/>
      </w:pPr>
      <w:r>
        <w:rPr>
          <w:rStyle w:val="s0"/>
        </w:rPr>
        <w:t xml:space="preserve">Перечень утратил силу в соответствии с </w:t>
      </w:r>
      <w:hyperlink r:id="rId22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</w:t>
      </w:r>
      <w:r>
        <w:rPr>
          <w:rStyle w:val="s0"/>
        </w:rPr>
        <w:t xml:space="preserve">и от 25.12.18 г. № 219 </w:t>
      </w:r>
      <w:r>
        <w:rPr>
          <w:rStyle w:val="s3"/>
        </w:rPr>
        <w:t>(</w:t>
      </w:r>
      <w:hyperlink r:id="rId23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41EE">
      <w:pPr>
        <w:pStyle w:val="pc"/>
      </w:pPr>
      <w:r>
        <w:rPr>
          <w:b/>
          <w:bCs/>
          <w:sz w:val="28"/>
          <w:szCs w:val="28"/>
        </w:rPr>
        <w:t> </w:t>
      </w:r>
    </w:p>
    <w:p w:rsidR="00000000" w:rsidRDefault="006241EE">
      <w:pPr>
        <w:pStyle w:val="pc"/>
      </w:pPr>
      <w:r>
        <w:t> </w:t>
      </w:r>
    </w:p>
    <w:p w:rsidR="00000000" w:rsidRDefault="006241EE">
      <w:pPr>
        <w:pStyle w:val="pc"/>
      </w:pPr>
      <w:r>
        <w:t> </w:t>
      </w:r>
    </w:p>
    <w:sectPr w:rsidR="0000000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1EE" w:rsidRDefault="006241EE" w:rsidP="006241EE">
      <w:r>
        <w:separator/>
      </w:r>
    </w:p>
  </w:endnote>
  <w:endnote w:type="continuationSeparator" w:id="0">
    <w:p w:rsidR="006241EE" w:rsidRDefault="006241EE" w:rsidP="0062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1EE" w:rsidRDefault="006241E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1EE" w:rsidRDefault="006241E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1EE" w:rsidRDefault="006241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1EE" w:rsidRDefault="006241EE" w:rsidP="006241EE">
      <w:r>
        <w:separator/>
      </w:r>
    </w:p>
  </w:footnote>
  <w:footnote w:type="continuationSeparator" w:id="0">
    <w:p w:rsidR="006241EE" w:rsidRDefault="006241EE" w:rsidP="00624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1EE" w:rsidRDefault="006241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1EE" w:rsidRDefault="006241EE" w:rsidP="006241E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241EE" w:rsidRPr="006241EE" w:rsidRDefault="006241EE" w:rsidP="006241E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РЕШЕНИЕ КОМИССИИ ТАМОЖЕННОГО СОЮЗА ОТ 9 ДЕКАБРЯ 2011 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1EE" w:rsidRDefault="006241E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241EE"/>
    <w:rsid w:val="0062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241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41E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41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41E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241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41E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41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41E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760096" TargetMode="External"/><Relationship Id="rId13" Type="http://schemas.openxmlformats.org/officeDocument/2006/relationships/hyperlink" Target="http://online.zakon.kz/Document/?doc_id=36227678" TargetMode="External"/><Relationship Id="rId18" Type="http://schemas.openxmlformats.org/officeDocument/2006/relationships/hyperlink" Target="http://online.zakon.kz/Document/?doc_id=30820388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7042031" TargetMode="External"/><Relationship Id="rId7" Type="http://schemas.openxmlformats.org/officeDocument/2006/relationships/hyperlink" Target="http://online.zakon.kz/Document/?doc_id=31100003" TargetMode="External"/><Relationship Id="rId12" Type="http://schemas.openxmlformats.org/officeDocument/2006/relationships/hyperlink" Target="http://online.zakon.kz/Document/?doc_id=31121659" TargetMode="External"/><Relationship Id="rId17" Type="http://schemas.openxmlformats.org/officeDocument/2006/relationships/hyperlink" Target="http://online.zakon.kz/Document/?doc_id=32886530" TargetMode="External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8277028" TargetMode="External"/><Relationship Id="rId20" Type="http://schemas.openxmlformats.org/officeDocument/2006/relationships/hyperlink" Target="http://online.zakon.kz/Document/?doc_id=35871159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042031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2007403" TargetMode="External"/><Relationship Id="rId23" Type="http://schemas.openxmlformats.org/officeDocument/2006/relationships/hyperlink" Target="http://online.zakon.kz/Document/?doc_id=37042031" TargetMode="External"/><Relationship Id="rId28" Type="http://schemas.openxmlformats.org/officeDocument/2006/relationships/header" Target="header3.xml"/><Relationship Id="rId10" Type="http://schemas.openxmlformats.org/officeDocument/2006/relationships/hyperlink" Target="http://online.zakon.kz/Document/?doc_id=35871159" TargetMode="External"/><Relationship Id="rId19" Type="http://schemas.openxmlformats.org/officeDocument/2006/relationships/hyperlink" Target="http://online.zakon.kz/Document/?doc_id=31100003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121659" TargetMode="External"/><Relationship Id="rId14" Type="http://schemas.openxmlformats.org/officeDocument/2006/relationships/hyperlink" Target="http://online.zakon.kz/Document/?doc_id=38277028" TargetMode="External"/><Relationship Id="rId22" Type="http://schemas.openxmlformats.org/officeDocument/2006/relationships/hyperlink" Target="http://online.zakon.kz/Document/?doc_id=35871159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1232</Words>
  <Characters>9834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РЕШЕНИЕ КОМИССИИ ТАМОЖЕННОГО СОЮЗА ОТ 9 ДЕКАБРЯ 2011 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2024-01-31T07:10:00Z</dcterms:created>
  <dcterms:modified xsi:type="dcterms:W3CDTF">2024-01-31T07:10:00Z</dcterms:modified>
</cp:coreProperties>
</file>