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A0205">
      <w:pPr>
        <w:pStyle w:val="pj"/>
      </w:pPr>
      <w:bookmarkStart w:id="0" w:name="_GoBack"/>
      <w:bookmarkEnd w:id="0"/>
      <w:r>
        <w:rPr>
          <w:rStyle w:val="s0"/>
          <w:b/>
          <w:bCs/>
        </w:rPr>
        <w:t>Решение Коллегии Евразийской экономической комиссии от 25 июля 2023 года № 109 «О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</w:t>
      </w:r>
      <w:r>
        <w:rPr>
          <w:rStyle w:val="s0"/>
          <w:b/>
          <w:bCs/>
        </w:rPr>
        <w:t xml:space="preserve"> добровольной основе обеспечивается соблюдение требований технического регламента Таможенного союза «О требованиях к смазочным материалам, маслам и специальным жидкостям» (ТР ТС 030/2012), и перечне международных и региональных (межгосударственных) стандар</w:t>
      </w:r>
      <w:r>
        <w:rPr>
          <w:rStyle w:val="s0"/>
          <w:b/>
          <w:bCs/>
        </w:rPr>
        <w:t>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</w:t>
      </w:r>
      <w:r>
        <w:rPr>
          <w:rStyle w:val="s0"/>
          <w:b/>
          <w:bCs/>
        </w:rPr>
        <w:t>ожен...</w:t>
      </w:r>
    </w:p>
    <w:p w:rsidR="00000000" w:rsidRDefault="003A0205">
      <w:pPr>
        <w:pStyle w:val="pj"/>
      </w:pPr>
      <w:r>
        <w:rPr>
          <w:rStyle w:val="s0"/>
          <w:b/>
          <w:bCs/>
        </w:rPr>
        <w:t> </w:t>
      </w:r>
    </w:p>
    <w:p w:rsidR="00000000" w:rsidRDefault="003A0205">
      <w:pPr>
        <w:pStyle w:val="pj"/>
      </w:pPr>
      <w:r>
        <w:rPr>
          <w:rStyle w:val="s0"/>
        </w:rPr>
        <w:t xml:space="preserve">Опубликовано на </w:t>
      </w:r>
      <w:hyperlink r:id="rId7" w:tgtFrame="_blank" w:history="1">
        <w:r>
          <w:rPr>
            <w:rStyle w:val="a4"/>
          </w:rPr>
          <w:t>сайте</w:t>
        </w:r>
      </w:hyperlink>
      <w:r>
        <w:rPr>
          <w:rStyle w:val="s0"/>
        </w:rPr>
        <w:t xml:space="preserve"> Евразийской экономической комиссии 26 июля 2023 г.</w:t>
      </w:r>
    </w:p>
    <w:p w:rsidR="00000000" w:rsidRDefault="003A0205">
      <w:pPr>
        <w:pStyle w:val="pj"/>
      </w:pPr>
      <w:r>
        <w:rPr>
          <w:b/>
          <w:bCs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205" w:rsidRDefault="003A0205" w:rsidP="003A0205">
      <w:r>
        <w:separator/>
      </w:r>
    </w:p>
  </w:endnote>
  <w:endnote w:type="continuationSeparator" w:id="0">
    <w:p w:rsidR="003A0205" w:rsidRDefault="003A0205" w:rsidP="003A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205" w:rsidRDefault="003A020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205" w:rsidRDefault="003A020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205" w:rsidRDefault="003A020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205" w:rsidRDefault="003A0205" w:rsidP="003A0205">
      <w:r>
        <w:separator/>
      </w:r>
    </w:p>
  </w:footnote>
  <w:footnote w:type="continuationSeparator" w:id="0">
    <w:p w:rsidR="003A0205" w:rsidRDefault="003A0205" w:rsidP="003A0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205" w:rsidRDefault="003A020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205" w:rsidRDefault="003A0205" w:rsidP="003A020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A0205" w:rsidRPr="003A0205" w:rsidRDefault="003A0205" w:rsidP="003A020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Решение Коллегии Евразийской экономической комиссии от 25 июля 2023 года № 109 «О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требованиях к смазочным материалам, маслам и специальным жидкостям» (ТР ТС 030/2012),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205" w:rsidRDefault="003A020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A0205"/>
    <w:rsid w:val="003A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A02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020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A02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0205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A02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020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A02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020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urasiancommission.org/ru/Pages/default.aspx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836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2025-10-14T04:53:00Z</dcterms:created>
  <dcterms:modified xsi:type="dcterms:W3CDTF">2025-10-14T04:53:00Z</dcterms:modified>
</cp:coreProperties>
</file>