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1B2">
      <w:pPr>
        <w:pStyle w:val="pr"/>
      </w:pPr>
      <w:bookmarkStart w:id="0" w:name="_GoBack"/>
      <w:bookmarkEnd w:id="0"/>
      <w:r>
        <w:t>01.08.2016</w:t>
      </w:r>
    </w:p>
    <w:p w:rsidR="00000000" w:rsidRDefault="00E211B2">
      <w:pPr>
        <w:pStyle w:val="pc"/>
      </w:pPr>
      <w:r>
        <w:rPr>
          <w:rStyle w:val="s1"/>
        </w:rPr>
        <w:t>Изменены формы налоговой отчетности и правила их составления на 2016 год</w:t>
      </w:r>
    </w:p>
    <w:p w:rsidR="00000000" w:rsidRDefault="00E211B2">
      <w:pPr>
        <w:pStyle w:val="pj"/>
      </w:pPr>
      <w:r>
        <w:rPr>
          <w:rStyle w:val="s0"/>
        </w:rPr>
        <w:t> </w:t>
      </w:r>
    </w:p>
    <w:p w:rsidR="00000000" w:rsidRDefault="00E211B2">
      <w:pPr>
        <w:pStyle w:val="pj"/>
      </w:pPr>
      <w:r>
        <w:rPr>
          <w:rStyle w:val="s0"/>
        </w:rPr>
        <w:t>Уважаемые налогоплательщики!</w:t>
      </w:r>
    </w:p>
    <w:p w:rsidR="00000000" w:rsidRDefault="00E211B2">
      <w:pPr>
        <w:pStyle w:val="pj"/>
      </w:pPr>
      <w:r>
        <w:rPr>
          <w:rStyle w:val="s0"/>
          <w:b/>
          <w:bCs/>
        </w:rPr>
        <w:t xml:space="preserve">Доводим до вашего сведения, что 21 июня 2016 года утвержден </w:t>
      </w:r>
      <w:hyperlink r:id="rId7" w:history="1">
        <w:r>
          <w:rPr>
            <w:rStyle w:val="a4"/>
            <w:b/>
            <w:bCs/>
          </w:rPr>
          <w:t>приказ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Министра финансов Республики Казахстан № 324 «О внесении изменений и дополнений в приказ Министра финансов Республики Казахстан от 25 декабря 2014 года № 587 «Об утверждении форм налоговой отчетности и правил их составления», который вступает в действие по</w:t>
      </w:r>
      <w:r>
        <w:rPr>
          <w:rStyle w:val="s0"/>
          <w:b/>
          <w:bCs/>
        </w:rPr>
        <w:t xml:space="preserve"> истечении 10 календарных дней после дня его первого официального опубликования (</w:t>
      </w:r>
      <w:r>
        <w:rPr>
          <w:rStyle w:val="s0"/>
          <w:b/>
          <w:bCs/>
          <w:color w:val="FF0000"/>
        </w:rPr>
        <w:t>опубликован 2 августа 2016 года, вводится в действие с 13 августа 2016 года</w:t>
      </w:r>
      <w:r>
        <w:rPr>
          <w:rStyle w:val="s0"/>
          <w:b/>
          <w:bCs/>
        </w:rPr>
        <w:t>)</w:t>
      </w:r>
      <w:r>
        <w:rPr>
          <w:rStyle w:val="s0"/>
        </w:rPr>
        <w:t xml:space="preserve">, сообщает </w:t>
      </w:r>
      <w:hyperlink r:id="rId8" w:anchor="http://kgd.gov.kz/ru/news/dlya-svedeniya-nalogoplatelshchikov-1-9060" w:tgtFrame="_blank" w:history="1">
        <w:r>
          <w:rPr>
            <w:rStyle w:val="a4"/>
          </w:rPr>
          <w:t>Кgd.gov.kz.</w:t>
        </w:r>
      </w:hyperlink>
    </w:p>
    <w:p w:rsidR="00000000" w:rsidRDefault="00E211B2">
      <w:pPr>
        <w:pStyle w:val="pj"/>
      </w:pPr>
      <w:r>
        <w:rPr>
          <w:rStyle w:val="s0"/>
        </w:rPr>
        <w:t xml:space="preserve">Внесены изменения и дополнения в формы налоговой отчетности и Правила составления: </w:t>
      </w:r>
      <w:hyperlink r:id="rId9" w:history="1">
        <w:r>
          <w:rPr>
            <w:rStyle w:val="a4"/>
          </w:rPr>
          <w:t>ф.200.00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4"/>
          </w:rPr>
          <w:t>220.00</w:t>
        </w:r>
      </w:hyperlink>
      <w:r>
        <w:rPr>
          <w:rStyle w:val="s0"/>
        </w:rPr>
        <w:t xml:space="preserve">, </w:t>
      </w:r>
      <w:hyperlink r:id="rId11" w:history="1">
        <w:r>
          <w:rPr>
            <w:rStyle w:val="a4"/>
          </w:rPr>
          <w:t>400.00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4"/>
          </w:rPr>
          <w:t>421.00</w:t>
        </w:r>
      </w:hyperlink>
      <w:r>
        <w:rPr>
          <w:rStyle w:val="s0"/>
        </w:rPr>
        <w:t xml:space="preserve">, </w:t>
      </w:r>
      <w:hyperlink r:id="rId13" w:history="1">
        <w:r>
          <w:rPr>
            <w:rStyle w:val="a4"/>
          </w:rPr>
          <w:t>590.00,</w:t>
        </w:r>
      </w:hyperlink>
      <w:r>
        <w:rPr>
          <w:rStyle w:val="s0"/>
        </w:rPr>
        <w:t xml:space="preserve"> </w:t>
      </w:r>
      <w:hyperlink r:id="rId14" w:history="1">
        <w:r>
          <w:rPr>
            <w:rStyle w:val="a4"/>
          </w:rPr>
          <w:t>700.00</w:t>
        </w:r>
      </w:hyperlink>
      <w:r>
        <w:rPr>
          <w:rStyle w:val="s0"/>
        </w:rPr>
        <w:t xml:space="preserve">, </w:t>
      </w:r>
      <w:hyperlink r:id="rId15" w:history="1">
        <w:r>
          <w:rPr>
            <w:rStyle w:val="a4"/>
          </w:rPr>
          <w:t>701.00,</w:t>
        </w:r>
      </w:hyperlink>
      <w:r>
        <w:rPr>
          <w:rStyle w:val="s0"/>
        </w:rPr>
        <w:t xml:space="preserve"> </w:t>
      </w:r>
      <w:hyperlink r:id="rId16" w:history="1">
        <w:r>
          <w:rPr>
            <w:rStyle w:val="a4"/>
          </w:rPr>
          <w:t>701.01</w:t>
        </w:r>
      </w:hyperlink>
      <w:r>
        <w:rPr>
          <w:rStyle w:val="s0"/>
        </w:rPr>
        <w:t>, а та</w:t>
      </w:r>
      <w:r>
        <w:rPr>
          <w:rStyle w:val="s0"/>
        </w:rPr>
        <w:t xml:space="preserve">кже в Правила составления </w:t>
      </w:r>
      <w:hyperlink r:id="rId17" w:history="1">
        <w:r>
          <w:rPr>
            <w:rStyle w:val="a4"/>
          </w:rPr>
          <w:t>ф.100.00</w:t>
        </w:r>
      </w:hyperlink>
      <w:r>
        <w:rPr>
          <w:rStyle w:val="s0"/>
        </w:rPr>
        <w:t xml:space="preserve">, </w:t>
      </w:r>
      <w:hyperlink r:id="rId18" w:history="1">
        <w:r>
          <w:rPr>
            <w:rStyle w:val="a4"/>
          </w:rPr>
          <w:t>150.00</w:t>
        </w:r>
      </w:hyperlink>
      <w:r>
        <w:rPr>
          <w:rStyle w:val="s0"/>
        </w:rPr>
        <w:t xml:space="preserve">, </w:t>
      </w:r>
      <w:hyperlink r:id="rId19" w:history="1">
        <w:r>
          <w:rPr>
            <w:rStyle w:val="a4"/>
          </w:rPr>
          <w:t>230.00</w:t>
        </w:r>
      </w:hyperlink>
      <w:r>
        <w:rPr>
          <w:rStyle w:val="s0"/>
        </w:rPr>
        <w:t xml:space="preserve">, </w:t>
      </w:r>
      <w:hyperlink r:id="rId20" w:history="1">
        <w:r>
          <w:rPr>
            <w:rStyle w:val="a4"/>
          </w:rPr>
          <w:t>300.00</w:t>
        </w:r>
      </w:hyperlink>
      <w:r>
        <w:rPr>
          <w:rStyle w:val="s0"/>
        </w:rPr>
        <w:t xml:space="preserve">, </w:t>
      </w:r>
      <w:hyperlink r:id="rId21" w:history="1">
        <w:r>
          <w:rPr>
            <w:rStyle w:val="a4"/>
          </w:rPr>
          <w:t>910.00,</w:t>
        </w:r>
      </w:hyperlink>
      <w:r>
        <w:rPr>
          <w:rStyle w:val="s0"/>
        </w:rPr>
        <w:t xml:space="preserve"> </w:t>
      </w:r>
      <w:hyperlink r:id="rId22" w:history="1">
        <w:r>
          <w:rPr>
            <w:rStyle w:val="a4"/>
          </w:rPr>
          <w:t>920.00.</w:t>
        </w:r>
      </w:hyperlink>
      <w:r>
        <w:rPr>
          <w:rStyle w:val="s0"/>
        </w:rPr>
        <w:t xml:space="preserve"> Новые шаблоны указанных форм налогово</w:t>
      </w:r>
      <w:r>
        <w:rPr>
          <w:rStyle w:val="s0"/>
        </w:rPr>
        <w:t xml:space="preserve">й отчетности на 2016 год будут доступны для налогоплательщиков к </w:t>
      </w:r>
      <w:r>
        <w:rPr>
          <w:rStyle w:val="s0"/>
          <w:b/>
          <w:bCs/>
        </w:rPr>
        <w:t>05.08.2016 года.</w:t>
      </w:r>
    </w:p>
    <w:p w:rsidR="00000000" w:rsidRDefault="00E211B2">
      <w:pPr>
        <w:pStyle w:val="pj"/>
      </w:pPr>
      <w:r>
        <w:rPr>
          <w:rStyle w:val="s0"/>
        </w:rPr>
        <w:t>Вместе с тем сообщаем, что налоговые отчетности, представленные до вступления в действие приказа Министра финансов Республики Казахстан от 21 июня 2016 года № 324 «О внесении</w:t>
      </w:r>
      <w:r>
        <w:rPr>
          <w:rStyle w:val="s0"/>
        </w:rPr>
        <w:t xml:space="preserve"> изменений и дополнений в приказ Министра финансов Республики Казахстан от 25 декабря 2014 года № 587 «Об утверждении форм налоговой отчетности и правил их оставления», считаются представленными в органы государственных доходов в соответствии со </w:t>
      </w:r>
      <w:hyperlink r:id="rId23" w:anchor="sub_id=5840000" w:history="1">
        <w:r>
          <w:rPr>
            <w:rStyle w:val="a4"/>
          </w:rPr>
          <w:t>статьей 584</w:t>
        </w:r>
      </w:hyperlink>
      <w:r>
        <w:rPr>
          <w:rStyle w:val="s0"/>
        </w:rPr>
        <w:t xml:space="preserve"> Налогового кодекса, так как на момент представления налоговая отчетность соответствует форме, установленной уполномоченным органом.</w:t>
      </w:r>
    </w:p>
    <w:p w:rsidR="00000000" w:rsidRDefault="00E211B2">
      <w:pPr>
        <w:pStyle w:val="pj"/>
      </w:pPr>
      <w:r>
        <w:rPr>
          <w:rStyle w:val="s0"/>
        </w:rPr>
        <w:t xml:space="preserve">В связи с чем, </w:t>
      </w:r>
      <w:r>
        <w:rPr>
          <w:rStyle w:val="s0"/>
          <w:b/>
          <w:bCs/>
        </w:rPr>
        <w:t>при исполнении налогов</w:t>
      </w:r>
      <w:r>
        <w:rPr>
          <w:rStyle w:val="s0"/>
          <w:b/>
          <w:bCs/>
        </w:rPr>
        <w:t>ых обязательств после вступления в силу указанного нормативно-правового акта, то есть (после 13 августа) налоговые отчетности в новом шаблоне представляются только теми налогоплательщиками, которыми еще не представлены налоговые отчетности за 2 квартал 201</w:t>
      </w:r>
      <w:r>
        <w:rPr>
          <w:rStyle w:val="s0"/>
          <w:b/>
          <w:bCs/>
        </w:rPr>
        <w:t>6 года, следовательно, данное обязательство не распространяется на налогоплательщиков, которыми уже представлены налоговые отчетности.</w:t>
      </w:r>
    </w:p>
    <w:p w:rsidR="00000000" w:rsidRDefault="00E211B2">
      <w:pPr>
        <w:pStyle w:val="pj"/>
      </w:pPr>
      <w:r>
        <w:rPr>
          <w:rStyle w:val="s0"/>
        </w:rPr>
        <w:t> </w:t>
      </w:r>
    </w:p>
    <w:p w:rsidR="00000000" w:rsidRDefault="00E211B2">
      <w:pPr>
        <w:pStyle w:val="pj"/>
      </w:pPr>
      <w:r>
        <w:rPr>
          <w:rStyle w:val="s0"/>
        </w:rPr>
        <w:t> </w:t>
      </w:r>
    </w:p>
    <w:p w:rsidR="00000000" w:rsidRDefault="00E211B2">
      <w:pPr>
        <w:pStyle w:val="p"/>
      </w:pPr>
      <w:r>
        <w:t> </w:t>
      </w:r>
    </w:p>
    <w:p w:rsidR="00000000" w:rsidRDefault="00E211B2">
      <w:pPr>
        <w:pStyle w:val="p"/>
      </w:pPr>
      <w:r>
        <w:rPr>
          <w:sz w:val="20"/>
          <w:szCs w:val="20"/>
        </w:rPr>
        <w:t> </w:t>
      </w:r>
    </w:p>
    <w:p w:rsidR="00000000" w:rsidRDefault="00E211B2">
      <w:pPr>
        <w:pStyle w:val="p"/>
      </w:pPr>
      <w:r>
        <w:rPr>
          <w:sz w:val="20"/>
          <w:szCs w:val="20"/>
        </w:rPr>
        <w:t>Источник: Комитета государственных доходов МФ РК (</w:t>
      </w:r>
      <w:hyperlink r:id="rId24" w:tgtFrame="_blank" w:history="1">
        <w:r>
          <w:rPr>
            <w:rStyle w:val="a4"/>
            <w:sz w:val="20"/>
            <w:szCs w:val="20"/>
          </w:rPr>
          <w:t>https://w</w:t>
        </w:r>
        <w:r>
          <w:rPr>
            <w:rStyle w:val="a4"/>
            <w:sz w:val="20"/>
            <w:szCs w:val="20"/>
          </w:rPr>
          <w:t>ww.kgd.gov.kz/ru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1B2" w:rsidRDefault="00E211B2" w:rsidP="00E211B2">
      <w:r>
        <w:separator/>
      </w:r>
    </w:p>
  </w:endnote>
  <w:endnote w:type="continuationSeparator" w:id="0">
    <w:p w:rsidR="00E211B2" w:rsidRDefault="00E211B2" w:rsidP="00E21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1B2" w:rsidRDefault="00E211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1B2" w:rsidRDefault="00E211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1B2" w:rsidRDefault="00E211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1B2" w:rsidRDefault="00E211B2" w:rsidP="00E211B2">
      <w:r>
        <w:separator/>
      </w:r>
    </w:p>
  </w:footnote>
  <w:footnote w:type="continuationSeparator" w:id="0">
    <w:p w:rsidR="00E211B2" w:rsidRDefault="00E211B2" w:rsidP="00E211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1B2" w:rsidRDefault="00E211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1B2" w:rsidRDefault="00E211B2" w:rsidP="00E21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1B2" w:rsidRPr="00E211B2" w:rsidRDefault="00E211B2" w:rsidP="00E21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Изменены формы налоговой отчетности и правила их составления на 2016 год (КГД дал дополнительные разъяснения по обновлению форм налоговой отчетности)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1B2" w:rsidRDefault="00E211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1B2"/>
    <w:rsid w:val="00E21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1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1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1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1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1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1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1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1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gd.gov.kz/ru/news/dlya-svedeniya-nalogoplatelshchikov-1-9060" TargetMode="External"/><Relationship Id="rId13" Type="http://schemas.openxmlformats.org/officeDocument/2006/relationships/hyperlink" Target="http://online.zakon.kz/Document/?doc_id=31664068" TargetMode="External"/><Relationship Id="rId18" Type="http://schemas.openxmlformats.org/officeDocument/2006/relationships/hyperlink" Target="http://online.zakon.kz/Document/?doc_id=3166392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64088" TargetMode="External"/><Relationship Id="rId7" Type="http://schemas.openxmlformats.org/officeDocument/2006/relationships/hyperlink" Target="http://online.zakon.kz/Document/?doc_id=32154679" TargetMode="External"/><Relationship Id="rId12" Type="http://schemas.openxmlformats.org/officeDocument/2006/relationships/hyperlink" Target="http://online.zakon.kz/Document/?doc_id=31663938" TargetMode="External"/><Relationship Id="rId17" Type="http://schemas.openxmlformats.org/officeDocument/2006/relationships/hyperlink" Target="http://online.zakon.kz/Document/?doc_id=31663911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61042" TargetMode="External"/><Relationship Id="rId20" Type="http://schemas.openxmlformats.org/officeDocument/2006/relationships/hyperlink" Target="http://online.zakon.kz/Document/?doc_id=3137384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3936" TargetMode="External"/><Relationship Id="rId24" Type="http://schemas.openxmlformats.org/officeDocument/2006/relationships/hyperlink" Target="https://www.kgd.gov.kz/ru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4076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663932" TargetMode="External"/><Relationship Id="rId19" Type="http://schemas.openxmlformats.org/officeDocument/2006/relationships/hyperlink" Target="http://online.zakon.kz/Document/?doc_id=3166393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3930" TargetMode="External"/><Relationship Id="rId14" Type="http://schemas.openxmlformats.org/officeDocument/2006/relationships/hyperlink" Target="http://online.zakon.kz/Document/?doc_id=31664073" TargetMode="External"/><Relationship Id="rId22" Type="http://schemas.openxmlformats.org/officeDocument/2006/relationships/hyperlink" Target="http://online.zakon.kz/Document/?doc_id=31663792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3059</Characters>
  <Application>Microsoft Office Word</Application>
  <DocSecurity>0</DocSecurity>
  <Lines>25</Lines>
  <Paragraphs>6</Paragraphs>
  <ScaleCrop>false</ScaleCrop>
  <Company/>
  <LinksUpToDate>false</LinksUpToDate>
  <CharactersWithSpaces>3322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2025-06-21T12:14:00Z</dcterms:created>
  <dcterms:modified xsi:type="dcterms:W3CDTF">2025-06-21T12:14:00Z</dcterms:modified>
</cp:coreProperties>
</file>