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4C0B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21.06.2022 г.)</w:t>
      </w:r>
    </w:p>
    <w:p w:rsidR="00000000" w:rsidRDefault="006C4C0B">
      <w:pPr>
        <w:pStyle w:val="pc"/>
      </w:pPr>
      <w:r>
        <w:t> </w:t>
      </w:r>
    </w:p>
    <w:p w:rsidR="00000000" w:rsidRDefault="006C4C0B">
      <w:pPr>
        <w:pStyle w:val="pji"/>
      </w:pPr>
      <w:r>
        <w:rPr>
          <w:rStyle w:val="s3"/>
        </w:rPr>
        <w:t xml:space="preserve">Данная редакция действовала до внесения изменений от 19 августа 2022 года </w:t>
      </w:r>
    </w:p>
    <w:p w:rsidR="00000000" w:rsidRDefault="006C4C0B">
      <w:pPr>
        <w:pStyle w:val="pc"/>
      </w:pPr>
      <w:r>
        <w:t> </w:t>
      </w:r>
    </w:p>
    <w:p w:rsidR="00000000" w:rsidRDefault="006C4C0B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6C4C0B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4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6C4C0B">
      <w:pPr>
        <w:pStyle w:val="pj"/>
      </w:pPr>
      <w:bookmarkStart w:id="1" w:name="SUB200"/>
      <w:bookmarkEnd w:id="1"/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4"/>
          </w:rPr>
          <w:t>Решение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4C0B">
      <w:pPr>
        <w:pStyle w:val="pj"/>
      </w:pPr>
      <w:r>
        <w:rPr>
          <w:rStyle w:val="s0"/>
        </w:rPr>
        <w:t>3. Установить:</w:t>
      </w:r>
    </w:p>
    <w:p w:rsidR="00000000" w:rsidRDefault="006C4C0B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4"/>
          </w:rPr>
          <w:t>Технич</w:t>
        </w:r>
        <w:r>
          <w:rPr>
            <w:rStyle w:val="a4"/>
          </w:rPr>
          <w:t>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6C4C0B">
      <w:pPr>
        <w:pStyle w:val="pj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</w:t>
      </w:r>
      <w:r>
        <w:rPr>
          <w:rStyle w:val="s0"/>
        </w:rPr>
        <w:t>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</w:t>
      </w:r>
      <w:r>
        <w:rPr>
          <w:rStyle w:val="s0"/>
        </w:rPr>
        <w:t>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6C4C0B">
      <w:pPr>
        <w:pStyle w:val="pj"/>
      </w:pPr>
      <w:r>
        <w:rPr>
          <w:rStyle w:val="s0"/>
        </w:rPr>
        <w:t>Указанные документы, выданные или</w:t>
      </w:r>
      <w:r>
        <w:rPr>
          <w:rStyle w:val="s0"/>
        </w:rPr>
        <w:t xml:space="preserve">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6C4C0B">
      <w:pPr>
        <w:pStyle w:val="pj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</w:t>
      </w:r>
      <w:r>
        <w:rPr>
          <w:rStyle w:val="s0"/>
        </w:rPr>
        <w:t>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6C4C0B">
      <w:pPr>
        <w:pStyle w:val="pj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</w:t>
      </w:r>
      <w:r>
        <w:rPr>
          <w:rStyle w:val="s0"/>
        </w:rPr>
        <w:t xml:space="preserve">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</w:t>
      </w:r>
      <w:r>
        <w:rPr>
          <w:rStyle w:val="s0"/>
        </w:rPr>
        <w:t>ствовать сроку действия документа, действовавшего до вступления в силу настоящего технического регламента.</w:t>
      </w:r>
    </w:p>
    <w:p w:rsidR="00000000" w:rsidRDefault="006C4C0B">
      <w:pPr>
        <w:pStyle w:val="pj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</w:t>
      </w:r>
      <w:r>
        <w:rPr>
          <w:rStyle w:val="s0"/>
        </w:rPr>
        <w:t>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6C4C0B">
      <w:pPr>
        <w:pStyle w:val="pji"/>
      </w:pPr>
      <w:r>
        <w:rPr>
          <w:rStyle w:val="s3"/>
        </w:rPr>
        <w:t xml:space="preserve">Пункт дополнен подпунктами 3.2.1 и 3.2.2 в соответствии с </w:t>
      </w:r>
      <w:hyperlink r:id="rId13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</w:t>
      </w:r>
      <w:r>
        <w:rPr>
          <w:rStyle w:val="s3"/>
        </w:rPr>
        <w:t>. № 65 (</w:t>
      </w:r>
      <w:hyperlink r:id="rId15" w:anchor="sub_id=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4C0B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</w:t>
      </w:r>
      <w:r>
        <w:rPr>
          <w:rStyle w:val="s0"/>
        </w:rPr>
        <w:t>ики Казахстан до окончания срока их действия, но не позднее 1 июля 2016 года;</w:t>
      </w:r>
    </w:p>
    <w:p w:rsidR="00000000" w:rsidRDefault="006C4C0B">
      <w:pPr>
        <w:pStyle w:val="pj"/>
      </w:pPr>
      <w:r>
        <w:rPr>
          <w:rStyle w:val="s0"/>
        </w:rPr>
        <w:t>3.2.2. Количество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</w:t>
      </w:r>
      <w:r>
        <w:rPr>
          <w:rStyle w:val="s0"/>
        </w:rPr>
        <w:t>ории N3 - 2100 штук, для категорий О3 и О4 - 2100 штук.</w:t>
      </w:r>
    </w:p>
    <w:p w:rsidR="00000000" w:rsidRDefault="006C4C0B">
      <w:pPr>
        <w:pStyle w:val="pji"/>
      </w:pPr>
      <w:r>
        <w:rPr>
          <w:rStyle w:val="s3"/>
        </w:rPr>
        <w:t xml:space="preserve">Пункт дополнен подпунктами 3.2.3 и 3.2.4 в соответствии с </w:t>
      </w:r>
      <w:hyperlink r:id="rId16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6C4C0B">
      <w:pPr>
        <w:pStyle w:val="pj"/>
      </w:pPr>
      <w:r>
        <w:rPr>
          <w:rStyle w:val="s0"/>
        </w:rPr>
        <w:t>3.2</w:t>
      </w:r>
      <w:r>
        <w:rPr>
          <w:rStyle w:val="s0"/>
        </w:rPr>
        <w:t>.3. Документы об оценке (подтверждении) соответствия обязательным требованиям, установленным законодательством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</w:t>
      </w:r>
      <w:r>
        <w:rPr>
          <w:rStyle w:val="s0"/>
        </w:rPr>
        <w:t>еское наименование «Fortuner»), производимого на территории Республики Казахстан, действительны до 28 марта 2017 года включительно;</w:t>
      </w:r>
    </w:p>
    <w:p w:rsidR="00000000" w:rsidRDefault="006C4C0B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</w:t>
      </w:r>
      <w:r>
        <w:rPr>
          <w:rStyle w:val="s0"/>
        </w:rPr>
        <w:t>етствии с подпунктом 3.2.3 настоящего Решения, не может превышать 1900 штук.</w:t>
      </w:r>
    </w:p>
    <w:p w:rsidR="00000000" w:rsidRDefault="006C4C0B">
      <w:pPr>
        <w:pStyle w:val="pji"/>
      </w:pPr>
      <w:r>
        <w:rPr>
          <w:rStyle w:val="s3"/>
        </w:rPr>
        <w:t xml:space="preserve">Пункт дополнен подпунктом 3.2.5 в соответствии с </w:t>
      </w:r>
      <w:hyperlink r:id="rId1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17.08.21 </w:t>
      </w:r>
      <w:r>
        <w:rPr>
          <w:rStyle w:val="s3"/>
        </w:rPr>
        <w:t xml:space="preserve">г. № 101; внесены изменения в соответствии с </w:t>
      </w:r>
      <w:hyperlink r:id="rId18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21.12.21 г. № 183 (</w:t>
      </w:r>
      <w:hyperlink r:id="rId19" w:anchor="sub_id=30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14.06.22 г. № 92 (</w:t>
      </w:r>
      <w:hyperlink r:id="rId21" w:anchor="sub_id=30205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6C4C0B">
      <w:pPr>
        <w:pStyle w:val="pj"/>
      </w:pPr>
      <w:r>
        <w:rPr>
          <w:rStyle w:val="s0"/>
        </w:rPr>
        <w:t xml:space="preserve">3.2.5. До </w:t>
      </w:r>
      <w:r>
        <w:t>31 января 2023 г.</w:t>
      </w:r>
      <w:r>
        <w:rPr>
          <w:rStyle w:val="s0"/>
        </w:rPr>
        <w:t xml:space="preserve"> включительно допускается не оснащать устройством или системой вызова экстренных оперативных служб транспортные средства (шасси) категорий M</w:t>
      </w:r>
      <w:r>
        <w:rPr>
          <w:rStyle w:val="s0"/>
          <w:vertAlign w:val="subscript"/>
        </w:rPr>
        <w:t>1</w:t>
      </w:r>
      <w:r>
        <w:rPr>
          <w:rStyle w:val="s0"/>
        </w:rPr>
        <w:t>, M</w:t>
      </w:r>
      <w:r>
        <w:rPr>
          <w:rStyle w:val="s0"/>
          <w:vertAlign w:val="subscript"/>
        </w:rPr>
        <w:t>2</w:t>
      </w:r>
      <w:r>
        <w:rPr>
          <w:rStyle w:val="s0"/>
        </w:rPr>
        <w:t>, M</w:t>
      </w:r>
      <w:r>
        <w:rPr>
          <w:rStyle w:val="s0"/>
          <w:vertAlign w:val="subscript"/>
        </w:rPr>
        <w:t>3</w:t>
      </w:r>
      <w:r>
        <w:rPr>
          <w:rStyle w:val="s0"/>
        </w:rPr>
        <w:t>, N</w:t>
      </w:r>
      <w:r>
        <w:rPr>
          <w:rStyle w:val="s0"/>
          <w:vertAlign w:val="subscript"/>
        </w:rPr>
        <w:t>1</w:t>
      </w:r>
      <w:r>
        <w:rPr>
          <w:rStyle w:val="s0"/>
        </w:rPr>
        <w:t>, N</w:t>
      </w:r>
      <w:r>
        <w:rPr>
          <w:rStyle w:val="s0"/>
          <w:vertAlign w:val="subscript"/>
        </w:rPr>
        <w:t>2</w:t>
      </w:r>
      <w:r>
        <w:rPr>
          <w:rStyle w:val="s0"/>
        </w:rPr>
        <w:t xml:space="preserve"> и N</w:t>
      </w:r>
      <w:r>
        <w:rPr>
          <w:rStyle w:val="s0"/>
          <w:vertAlign w:val="subscript"/>
        </w:rPr>
        <w:t>3</w:t>
      </w:r>
      <w:r>
        <w:rPr>
          <w:rStyle w:val="s0"/>
        </w:rPr>
        <w:t xml:space="preserve"> (за исключением транспортных средств для перевозки </w:t>
      </w:r>
      <w:r>
        <w:rPr>
          <w:rStyle w:val="s0"/>
        </w:rPr>
        <w:t>опасных грузов и транспортных средств, специально предназначенных для перевозки детей), которые изготовлены на таможенной территории Евразийского экономического союза и в отношении которых действуют одобрения типа транспортного средства (одобрения типа шас</w:t>
      </w:r>
      <w:r>
        <w:rPr>
          <w:rStyle w:val="s0"/>
        </w:rPr>
        <w:t>си).</w:t>
      </w:r>
    </w:p>
    <w:p w:rsidR="00000000" w:rsidRDefault="006C4C0B">
      <w:pPr>
        <w:pStyle w:val="pj"/>
      </w:pPr>
      <w:r>
        <w:rPr>
          <w:rStyle w:val="s0"/>
        </w:rPr>
        <w:t xml:space="preserve">Указанные транспортные средства (шасси) должны быть дооснащены устройством или системой вызова экстренных оперативных служб изготовителем транспортного средства (шасси) </w:t>
      </w:r>
      <w:r>
        <w:t>до 31 декабря 2023 г.</w:t>
      </w:r>
    </w:p>
    <w:p w:rsidR="00000000" w:rsidRDefault="006C4C0B">
      <w:pPr>
        <w:pStyle w:val="pj"/>
      </w:pPr>
      <w:r>
        <w:rPr>
          <w:rStyle w:val="s0"/>
        </w:rPr>
        <w:t xml:space="preserve">Реализация таких транспортных средств (шасси), выпущенных в </w:t>
      </w:r>
      <w:r>
        <w:rPr>
          <w:rStyle w:val="s0"/>
        </w:rPr>
        <w:t xml:space="preserve">обращение с даты вступления настоящего Решения в силу </w:t>
      </w:r>
      <w:r>
        <w:t xml:space="preserve">до 31 января 2023 г. </w:t>
      </w:r>
      <w:r>
        <w:rPr>
          <w:rStyle w:val="s0"/>
        </w:rPr>
        <w:t>без устройств или систем вызова экстренных оперативных служб, осуществляется при условии обязательного информирования потребителей о необходимости дооснащения транспортного средства</w:t>
      </w:r>
      <w:r>
        <w:rPr>
          <w:rStyle w:val="s0"/>
        </w:rPr>
        <w:t xml:space="preserve"> (шасси) устройством или системой вызова экстренных оперативных служб и указания в электронном паспорте транспортного средства (электронном паспорте шасси транспортного средства) соответствующей информации.</w:t>
      </w:r>
    </w:p>
    <w:p w:rsidR="00000000" w:rsidRDefault="006C4C0B">
      <w:pPr>
        <w:pStyle w:val="pj"/>
      </w:pPr>
      <w:r>
        <w:rPr>
          <w:rStyle w:val="s0"/>
        </w:rPr>
        <w:t>Контроль за исполнением настоящего Решения обеспе</w:t>
      </w:r>
      <w:r>
        <w:rPr>
          <w:rStyle w:val="s0"/>
        </w:rPr>
        <w:t>чивается уполномоченными органами государств - членов Евразийского экономического союза в соответствии с законодательством государств-членов.</w:t>
      </w:r>
    </w:p>
    <w:p w:rsidR="00000000" w:rsidRDefault="006C4C0B">
      <w:pPr>
        <w:pStyle w:val="pji"/>
      </w:pPr>
      <w:r>
        <w:rPr>
          <w:rStyle w:val="s3"/>
        </w:rPr>
        <w:t xml:space="preserve">Пункт дополнен подпунктом 3.2.6 в соответствии с </w:t>
      </w:r>
      <w:hyperlink r:id="rId22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05.04.22 г. № 45</w:t>
      </w:r>
    </w:p>
    <w:p w:rsidR="00000000" w:rsidRDefault="006C4C0B">
      <w:pPr>
        <w:pStyle w:val="pj"/>
      </w:pPr>
      <w:r>
        <w:rPr>
          <w:rStyle w:val="s0"/>
        </w:rPr>
        <w:t xml:space="preserve">3.2.6. Выпуск в обращение и нахождение в эксплуатации транспортных средств, указанных в абзаце втором </w:t>
      </w:r>
      <w:hyperlink r:id="rId23" w:anchor="sub_id=100" w:history="1">
        <w:r>
          <w:rPr>
            <w:rStyle w:val="a4"/>
          </w:rPr>
          <w:t>пункта 1 раздела I</w:t>
        </w:r>
      </w:hyperlink>
      <w:r>
        <w:rPr>
          <w:rStyle w:val="s0"/>
        </w:rPr>
        <w:t xml:space="preserve"> Технического регламента, допускаются при условии обеспечения их безопасности и только на территории государства - члена Евразийского экономического союза, в котором эти транспортные средства произведены, за исключением случая, указанного</w:t>
      </w:r>
      <w:r>
        <w:rPr>
          <w:rStyle w:val="s0"/>
        </w:rPr>
        <w:t xml:space="preserve"> в абзаце втором настоящего пункта. В отношении таких транспортных средств не допускается оформление документов об оценке соответствия, предусмотренных Техническим регламентом.</w:t>
      </w:r>
    </w:p>
    <w:p w:rsidR="00000000" w:rsidRDefault="006C4C0B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</w:t>
      </w:r>
      <w:r>
        <w:rPr>
          <w:rStyle w:val="s0"/>
        </w:rPr>
        <w:t>, указанными в абзаце втором пункта 1 раздела I Технического регламента, не допускается на территориях государств - членов Евразийского экономического союза, за исключением территории государства-члена, в котором эти транспортные средства произведены, если</w:t>
      </w:r>
      <w:r>
        <w:rPr>
          <w:rStyle w:val="s0"/>
        </w:rPr>
        <w:t xml:space="preserve"> иное не установлено законодательством других государств-членов в отношении таких транспортных средств.</w:t>
      </w:r>
    </w:p>
    <w:p w:rsidR="00000000" w:rsidRDefault="006C4C0B">
      <w:pPr>
        <w:pStyle w:val="pji"/>
      </w:pPr>
      <w:r>
        <w:rPr>
          <w:rStyle w:val="s3"/>
        </w:rPr>
        <w:t xml:space="preserve">Пункт дополнен подпунктом 3.2.7 в соответствии с </w:t>
      </w:r>
      <w:hyperlink r:id="rId24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</w:t>
      </w:r>
      <w:r>
        <w:rPr>
          <w:rStyle w:val="s3"/>
        </w:rPr>
        <w:t>кой комиссии от 15.04.22 г. № 77 (распространяется на правоотношения, возникшие с 15 апреля 2022 г.)</w:t>
      </w:r>
    </w:p>
    <w:p w:rsidR="00000000" w:rsidRDefault="006C4C0B">
      <w:pPr>
        <w:pStyle w:val="pj"/>
      </w:pPr>
      <w:r>
        <w:rPr>
          <w:rStyle w:val="s0"/>
        </w:rPr>
        <w:t>3.2.7. До 1 февраля 2023 г. в Республике Армения, Республике Беларусь, Республике Казахстан, Кыргызской Республике допускается оценка соответствия и выпуск</w:t>
      </w:r>
      <w:r>
        <w:rPr>
          <w:rStyle w:val="s0"/>
        </w:rPr>
        <w:t xml:space="preserve"> в обращение транспортных средств категорий М и N, которые изготовлены на территории государства - члена Евразийского экономического союза или ввезены официальными представителями иностранных изготовителей на территорию такого государства - члена Евразийск</w:t>
      </w:r>
      <w:r>
        <w:rPr>
          <w:rStyle w:val="s0"/>
        </w:rPr>
        <w:t xml:space="preserve">ого экономического союза, без применения пунктов 113 и 114 </w:t>
      </w:r>
      <w:hyperlink r:id="rId25" w:anchor="sub_id=2113" w:history="1">
        <w:r>
          <w:rPr>
            <w:rStyle w:val="a4"/>
          </w:rPr>
          <w:t>приложения № 2</w:t>
        </w:r>
      </w:hyperlink>
      <w:r>
        <w:rPr>
          <w:rStyle w:val="s0"/>
        </w:rPr>
        <w:t xml:space="preserve"> к Техническому регламенту и пунктов 16 и 17 </w:t>
      </w:r>
      <w:hyperlink r:id="rId26" w:anchor="sub_id=316" w:history="1">
        <w:r>
          <w:rPr>
            <w:rStyle w:val="a4"/>
          </w:rPr>
          <w:t>приложения № 3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6C4C0B">
      <w:pPr>
        <w:pStyle w:val="pj"/>
      </w:pPr>
      <w:r>
        <w:rPr>
          <w:rStyle w:val="s0"/>
        </w:rPr>
        <w:t xml:space="preserve">До 1 февраля 2023 г. в Российской Федерации особенности проведения оценки соответствия выпускаемых в обращение транспортных средств без применения требований в отношении оснащения транспортных средств системами (устройствами) вызова экстренных оперативных </w:t>
      </w:r>
      <w:r>
        <w:rPr>
          <w:rStyle w:val="s0"/>
        </w:rPr>
        <w:t>служб устанавливаются в соответствии с нормативными правовыми актами Правительства Российской Федерации.</w:t>
      </w:r>
    </w:p>
    <w:p w:rsidR="00000000" w:rsidRDefault="006C4C0B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абзацах первом и втором настоящего пункта, не допускается</w:t>
      </w:r>
      <w:r>
        <w:rPr>
          <w:rStyle w:val="s0"/>
        </w:rPr>
        <w:t xml:space="preserve"> на территориях государств - членов Евразийского экономического союза, за исключением территории государства - члена Евразийского экономического союза, в котором эти транспортные средства произведены или на территорию которого они ввезены официальными пред</w:t>
      </w:r>
      <w:r>
        <w:rPr>
          <w:rStyle w:val="s0"/>
        </w:rPr>
        <w:t>ставителями иностранных изготовителей,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6C4C0B">
      <w:pPr>
        <w:pStyle w:val="pji"/>
      </w:pPr>
      <w:r>
        <w:rPr>
          <w:rStyle w:val="s3"/>
        </w:rPr>
        <w:t xml:space="preserve">Пункт дополнен подпунктом 3.2.8 в соответствии с </w:t>
      </w:r>
      <w:hyperlink r:id="rId27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 105</w:t>
      </w:r>
    </w:p>
    <w:p w:rsidR="00000000" w:rsidRDefault="006C4C0B">
      <w:pPr>
        <w:pStyle w:val="pj"/>
      </w:pPr>
      <w:r>
        <w:rPr>
          <w:rStyle w:val="s0"/>
        </w:rPr>
        <w:t>3.2.8. До 1 февраля 2023 г. в Республике Армения, Республике Беларусь, Республике Казахстан и Кыргызской Республике допускается оценка</w:t>
      </w:r>
      <w:r>
        <w:rPr>
          <w:rStyle w:val="s0"/>
        </w:rPr>
        <w:t xml:space="preserve"> соответствия и выпуск в обращение единичных транспортных средств категорий M и N, ввозимых для собственных нужд на территории этих государств, без применения положений раздела 5 </w:t>
      </w:r>
      <w:hyperlink r:id="rId28" w:anchor="sub_id=405" w:history="1">
        <w:r>
          <w:rPr>
            <w:rStyle w:val="a4"/>
          </w:rPr>
          <w:t>приложения № 4</w:t>
        </w:r>
      </w:hyperlink>
      <w:r>
        <w:rPr>
          <w:rStyle w:val="s0"/>
        </w:rPr>
        <w:t xml:space="preserve"> к Техническому регламенту.</w:t>
      </w:r>
    </w:p>
    <w:p w:rsidR="00000000" w:rsidRDefault="006C4C0B">
      <w:pPr>
        <w:pStyle w:val="pj"/>
      </w:pPr>
      <w:r>
        <w:rPr>
          <w:rStyle w:val="s0"/>
        </w:rPr>
        <w:t>Осуществление прав владения, пользования, распоряжения транспортными средствами, указанными в абзаце первом настоящего подпункта, не допускается на территориях других государств - членов Евразийского экономичес</w:t>
      </w:r>
      <w:r>
        <w:rPr>
          <w:rStyle w:val="s0"/>
        </w:rPr>
        <w:t>кого союза, если иное не установлено законодательством соответствующих государств - членов Евразийского экономического союза в отношении таких транспортных средств.</w:t>
      </w:r>
    </w:p>
    <w:p w:rsidR="00000000" w:rsidRDefault="006C4C0B">
      <w:pPr>
        <w:pStyle w:val="pj"/>
      </w:pPr>
      <w:r>
        <w:rPr>
          <w:rStyle w:val="s0"/>
        </w:rPr>
        <w:t>3.3. До 1 июля 2016 года допускается производство и выпуск в обращение продукции в соответс</w:t>
      </w:r>
      <w:r>
        <w:rPr>
          <w:rStyle w:val="s0"/>
        </w:rPr>
        <w:t>твии с обязательными требованиями, ранее установленными нормативными правовыми актами Таможенного союза или законодательством государства - члена Таможенного союза, при наличии документов об оценке (подтверждении) соответствия продукции указанным обязатель</w:t>
      </w:r>
      <w:r>
        <w:rPr>
          <w:rStyle w:val="s0"/>
        </w:rPr>
        <w:t>ным требованиям, выданных или принятых до дня вступления в силу Технического регламента.</w:t>
      </w:r>
    </w:p>
    <w:p w:rsidR="00000000" w:rsidRDefault="006C4C0B">
      <w:pPr>
        <w:pStyle w:val="pj"/>
      </w:pPr>
      <w:r>
        <w:rPr>
          <w:rStyle w:val="s0"/>
        </w:rPr>
        <w:t>Указанная продукция маркируется национальным знаком соответствия (знаком обращения на рынке) в соответствии с законодательством государств - членов Таможенного союза и</w:t>
      </w:r>
      <w:r>
        <w:rPr>
          <w:rStyle w:val="s0"/>
        </w:rPr>
        <w:t xml:space="preserve">ли с </w:t>
      </w:r>
      <w:hyperlink r:id="rId29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6C4C0B">
      <w:pPr>
        <w:pStyle w:val="pj"/>
      </w:pPr>
      <w:r>
        <w:rPr>
          <w:rStyle w:val="s0"/>
        </w:rPr>
        <w:t>Маркировка такой продукции единым знаком обращения продукции на рынке государств - членов Таможенного союза не допускается;</w:t>
      </w:r>
    </w:p>
    <w:p w:rsidR="00000000" w:rsidRDefault="006C4C0B">
      <w:pPr>
        <w:pStyle w:val="pj"/>
      </w:pPr>
      <w:r>
        <w:rPr>
          <w:rStyle w:val="s0"/>
        </w:rPr>
        <w:t>3.4. Обращен</w:t>
      </w:r>
      <w:r>
        <w:rPr>
          <w:rStyle w:val="s0"/>
        </w:rPr>
        <w:t xml:space="preserve">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4"/>
          </w:rPr>
          <w:t>подпункте 3.2</w:t>
        </w:r>
      </w:hyperlink>
      <w:r>
        <w:rPr>
          <w:rStyle w:val="s0"/>
        </w:rPr>
        <w:t xml:space="preserve"> настоящего Решения, допускается в течение срока годности (срока службы) продукции, установленно</w:t>
      </w:r>
      <w:r>
        <w:rPr>
          <w:rStyle w:val="s0"/>
        </w:rPr>
        <w:t>го в соответствии с законодательством государства - члена Таможенного союза.</w:t>
      </w:r>
    </w:p>
    <w:p w:rsidR="00000000" w:rsidRDefault="006C4C0B">
      <w:pPr>
        <w:pStyle w:val="pji"/>
      </w:pPr>
      <w:r>
        <w:rPr>
          <w:rStyle w:val="s3"/>
        </w:rPr>
        <w:t xml:space="preserve">Пункт дополнен подпунктом 3.5 в соответствии с </w:t>
      </w:r>
      <w:hyperlink r:id="rId30" w:history="1">
        <w:r>
          <w:rPr>
            <w:rStyle w:val="a4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21.06.22 г. №</w:t>
      </w:r>
      <w:r>
        <w:rPr>
          <w:rStyle w:val="s3"/>
        </w:rPr>
        <w:t xml:space="preserve"> 103</w:t>
      </w:r>
    </w:p>
    <w:p w:rsidR="00000000" w:rsidRDefault="006C4C0B">
      <w:pPr>
        <w:pStyle w:val="pj"/>
      </w:pPr>
      <w:r>
        <w:rPr>
          <w:rStyle w:val="s0"/>
        </w:rPr>
        <w:t xml:space="preserve">3.5. В случае наступления в 2022 году срока проведения планового контроля, предусмотренного </w:t>
      </w:r>
      <w:hyperlink r:id="rId31" w:anchor="sub_id=4600" w:history="1">
        <w:r>
          <w:rPr>
            <w:rStyle w:val="a4"/>
          </w:rPr>
          <w:t>пунктами 46 и 47</w:t>
        </w:r>
      </w:hyperlink>
      <w:r>
        <w:rPr>
          <w:rStyle w:val="s0"/>
        </w:rPr>
        <w:t xml:space="preserve"> Технического регламента, по заявлению заявителя орган по сер</w:t>
      </w:r>
      <w:r>
        <w:rPr>
          <w:rStyle w:val="s0"/>
        </w:rPr>
        <w:t>тификации вправе принять решение о переносе проведения такого контроля на срок до 12 месяцев при наличии подтверждения неизменности технологического процесса производства сертифицированной продукции и технической документации на продукцию.</w:t>
      </w:r>
    </w:p>
    <w:p w:rsidR="00000000" w:rsidRDefault="006C4C0B">
      <w:pPr>
        <w:pStyle w:val="pj"/>
      </w:pPr>
      <w:r>
        <w:rPr>
          <w:rStyle w:val="s0"/>
        </w:rPr>
        <w:t>4. Секретариату Комиссии совместно со Сторонами подготовить проект Плана мероприятий, необходимых для реализации Технического регламента, и в трехмесячный срок со дня вступления в силу настоящего Решения обеспечить представление его на утверждение Комиссии</w:t>
      </w:r>
      <w:r>
        <w:rPr>
          <w:rStyle w:val="s0"/>
        </w:rPr>
        <w:t xml:space="preserve"> в установленном порядке.</w:t>
      </w:r>
    </w:p>
    <w:p w:rsidR="00000000" w:rsidRDefault="006C4C0B">
      <w:pPr>
        <w:pStyle w:val="pj"/>
      </w:pPr>
      <w:r>
        <w:rPr>
          <w:rStyle w:val="s0"/>
        </w:rPr>
        <w:t>5. Российской Стороне:</w:t>
      </w:r>
    </w:p>
    <w:p w:rsidR="00000000" w:rsidRDefault="006C4C0B">
      <w:pPr>
        <w:pStyle w:val="pj"/>
      </w:pPr>
      <w:r>
        <w:rPr>
          <w:rStyle w:val="s0"/>
        </w:rPr>
        <w:t>5.1. Не реже одного раза в три года подготавливать предложения по внесению изменений в Технический регламент для его актуализации, связанной с выполнением Сторонами обязательств по участию в международных со</w:t>
      </w:r>
      <w:r>
        <w:rPr>
          <w:rStyle w:val="s0"/>
        </w:rPr>
        <w:t>глашениях по согласованию требований безопасности в отношении транспортных средств.</w:t>
      </w:r>
    </w:p>
    <w:p w:rsidR="00000000" w:rsidRDefault="006C4C0B">
      <w:pPr>
        <w:pStyle w:val="pj"/>
      </w:pPr>
      <w:r>
        <w:rPr>
          <w:rStyle w:val="s0"/>
        </w:rPr>
        <w:t xml:space="preserve">5.2. Не реже одного раза в год обеспечивать актуализацию Перечней стандартов, указанных в </w:t>
      </w:r>
      <w:hyperlink w:anchor="sub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</w:t>
      </w:r>
      <w:r>
        <w:rPr>
          <w:rStyle w:val="s0"/>
        </w:rPr>
        <w:t xml:space="preserve"> и результатов применения стандартов, содержащихся в Перечнях, а также предложений органов Сторон.</w:t>
      </w:r>
    </w:p>
    <w:p w:rsidR="00000000" w:rsidRDefault="006C4C0B">
      <w:pPr>
        <w:pStyle w:val="pj"/>
      </w:pPr>
      <w:r>
        <w:rPr>
          <w:rStyle w:val="s0"/>
        </w:rPr>
        <w:t>5.3. С учетом предложений Сторон разработать и в установленном порядке внести на рассмотрение Комиссии проект программы по разработке (внесению изменений, пе</w:t>
      </w:r>
      <w:r>
        <w:rPr>
          <w:rStyle w:val="s0"/>
        </w:rPr>
        <w:t>ресмотру) межгосударственных стандартов.</w:t>
      </w:r>
    </w:p>
    <w:p w:rsidR="00000000" w:rsidRDefault="006C4C0B">
      <w:pPr>
        <w:pStyle w:val="pj"/>
      </w:pPr>
      <w:r>
        <w:rPr>
          <w:rStyle w:val="s0"/>
        </w:rPr>
        <w:t>5.4. В срок до 31 декабря 2012 года разработать и представить в Комиссию для утверждения Правила заполнения бланков одобрений типа транспортного средства, одобрений типа шасси, уведомлений об отмене документа, удост</w:t>
      </w:r>
      <w:r>
        <w:rPr>
          <w:rStyle w:val="s0"/>
        </w:rPr>
        <w:t>оверяющего соответствие Техническому регламенту, свидетельств о безопасности конструкции транспортного средства и свидетельств о соответствии транспортного средства с внесенными в его конструкцию изменениями требованиям безопасности, содержащих, в том числ</w:t>
      </w:r>
      <w:r>
        <w:rPr>
          <w:rStyle w:val="s0"/>
        </w:rPr>
        <w:t>е, требования к структуре номеров и формы бланков указанных документов.</w:t>
      </w:r>
    </w:p>
    <w:p w:rsidR="00000000" w:rsidRDefault="006C4C0B">
      <w:pPr>
        <w:pStyle w:val="pj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изменений в Технический регламент в целях установления требований к санитарному транспорту и пре</w:t>
      </w:r>
      <w:r>
        <w:rPr>
          <w:rStyle w:val="s0"/>
        </w:rPr>
        <w:t>дставить его в Секретариат Комиссии в установленном порядке.</w:t>
      </w:r>
    </w:p>
    <w:p w:rsidR="00000000" w:rsidRDefault="006C4C0B">
      <w:pPr>
        <w:pStyle w:val="pj"/>
      </w:pPr>
      <w:r>
        <w:rPr>
          <w:rStyle w:val="s0"/>
        </w:rPr>
        <w:t>6. Сторонам:</w:t>
      </w:r>
    </w:p>
    <w:p w:rsidR="00000000" w:rsidRDefault="006C4C0B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</w:t>
      </w:r>
      <w:r>
        <w:rPr>
          <w:rStyle w:val="s0"/>
        </w:rPr>
        <w:t>людением требований Технического регламента, и информировать об этом Комиссию;</w:t>
      </w:r>
    </w:p>
    <w:p w:rsidR="00000000" w:rsidRDefault="006C4C0B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6C4C0B">
      <w:pPr>
        <w:pStyle w:val="pj"/>
      </w:pPr>
      <w:r>
        <w:rPr>
          <w:rStyle w:val="s0"/>
        </w:rPr>
        <w:t>7. Настоящее Р</w:t>
      </w:r>
      <w:r>
        <w:rPr>
          <w:rStyle w:val="s0"/>
        </w:rPr>
        <w:t xml:space="preserve">ешение вступает в силу через 15 дней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6C4C0B">
      <w:pPr>
        <w:pStyle w:val="a3"/>
      </w:pPr>
      <w:r>
        <w:rPr>
          <w:rStyle w:val="s0"/>
        </w:rPr>
        <w:t> </w:t>
      </w:r>
    </w:p>
    <w:p w:rsidR="00000000" w:rsidRDefault="006C4C0B">
      <w:pPr>
        <w:pStyle w:val="a3"/>
      </w:pPr>
      <w:r>
        <w:rPr>
          <w:rStyle w:val="s0"/>
        </w:rPr>
        <w:t> </w:t>
      </w:r>
    </w:p>
    <w:p w:rsidR="00000000" w:rsidRDefault="006C4C0B">
      <w:pPr>
        <w:pStyle w:val="pc"/>
      </w:pPr>
      <w:r>
        <w:rPr>
          <w:rStyle w:val="s0"/>
          <w:b/>
          <w:bCs/>
        </w:rPr>
        <w:t xml:space="preserve">Члены </w:t>
      </w:r>
      <w:r>
        <w:rPr>
          <w:rStyle w:val="s0"/>
          <w:b/>
          <w:bCs/>
        </w:rPr>
        <w:t>Комиссии Таможенного союза:</w:t>
      </w:r>
    </w:p>
    <w:p w:rsidR="00000000" w:rsidRDefault="006C4C0B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C0B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6C4C0B">
            <w:pPr>
              <w:pStyle w:val="pc"/>
            </w:pPr>
            <w:r>
              <w:rPr>
                <w:rStyle w:val="s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C0B">
            <w:pPr>
              <w:pStyle w:val="pc"/>
            </w:pPr>
            <w:r>
              <w:rPr>
                <w:rStyle w:val="s0"/>
                <w:b/>
                <w:bCs/>
              </w:rPr>
              <w:t>От Республики</w:t>
            </w:r>
          </w:p>
          <w:p w:rsidR="00000000" w:rsidRDefault="006C4C0B">
            <w:pPr>
              <w:pStyle w:val="pc"/>
            </w:pPr>
            <w:r>
              <w:rPr>
                <w:rStyle w:val="s0"/>
                <w:b/>
                <w:bCs/>
              </w:rPr>
              <w:t>Казахстан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C0B">
            <w:pPr>
              <w:pStyle w:val="pc"/>
            </w:pPr>
            <w:r>
              <w:rPr>
                <w:rStyle w:val="s0"/>
                <w:b/>
                <w:bCs/>
              </w:rPr>
              <w:t>От Российской</w:t>
            </w:r>
          </w:p>
          <w:p w:rsidR="00000000" w:rsidRDefault="006C4C0B">
            <w:pPr>
              <w:pStyle w:val="pc"/>
            </w:pPr>
            <w:r>
              <w:rPr>
                <w:rStyle w:val="s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C0B">
            <w:pPr>
              <w:pStyle w:val="pc"/>
            </w:pPr>
            <w:r>
              <w:t> </w:t>
            </w:r>
          </w:p>
          <w:p w:rsidR="00000000" w:rsidRDefault="006C4C0B">
            <w:pPr>
              <w:pStyle w:val="pc"/>
            </w:pPr>
            <w:r>
              <w:rPr>
                <w:rStyle w:val="s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C0B">
            <w:pPr>
              <w:pStyle w:val="pc"/>
            </w:pPr>
            <w:r>
              <w:t> </w:t>
            </w:r>
          </w:p>
          <w:p w:rsidR="00000000" w:rsidRDefault="006C4C0B">
            <w:pPr>
              <w:pStyle w:val="pc"/>
            </w:pPr>
            <w:r>
              <w:rPr>
                <w:rStyle w:val="s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4C0B">
            <w:pPr>
              <w:pStyle w:val="pc"/>
            </w:pPr>
            <w:r>
              <w:t> </w:t>
            </w:r>
          </w:p>
          <w:p w:rsidR="00000000" w:rsidRDefault="006C4C0B">
            <w:pPr>
              <w:pStyle w:val="pc"/>
            </w:pPr>
            <w:r>
              <w:rPr>
                <w:rStyle w:val="s0"/>
                <w:b/>
                <w:bCs/>
              </w:rPr>
              <w:t>И. Шувалов</w:t>
            </w:r>
          </w:p>
        </w:tc>
      </w:tr>
    </w:tbl>
    <w:p w:rsidR="00000000" w:rsidRDefault="006C4C0B">
      <w:pPr>
        <w:pStyle w:val="a3"/>
      </w:pPr>
      <w:r>
        <w:t> </w:t>
      </w:r>
    </w:p>
    <w:p w:rsidR="00000000" w:rsidRDefault="006C4C0B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33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3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4C0B">
      <w:pPr>
        <w:pStyle w:val="pc"/>
      </w:pPr>
      <w:r>
        <w:t> </w:t>
      </w:r>
    </w:p>
    <w:p w:rsidR="00000000" w:rsidRDefault="006C4C0B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35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3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4C0B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6C4C0B">
      <w:pPr>
        <w:pStyle w:val="pc"/>
      </w:pPr>
      <w:r>
        <w:t> </w:t>
      </w:r>
    </w:p>
    <w:p w:rsidR="00000000" w:rsidRDefault="006C4C0B">
      <w:pPr>
        <w:pStyle w:val="pc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C0B" w:rsidRDefault="006C4C0B" w:rsidP="006C4C0B">
      <w:r>
        <w:separator/>
      </w:r>
    </w:p>
  </w:endnote>
  <w:endnote w:type="continuationSeparator" w:id="0">
    <w:p w:rsidR="006C4C0B" w:rsidRDefault="006C4C0B" w:rsidP="006C4C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0B" w:rsidRDefault="006C4C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0B" w:rsidRDefault="006C4C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0B" w:rsidRDefault="006C4C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C0B" w:rsidRDefault="006C4C0B" w:rsidP="006C4C0B">
      <w:r>
        <w:separator/>
      </w:r>
    </w:p>
  </w:footnote>
  <w:footnote w:type="continuationSeparator" w:id="0">
    <w:p w:rsidR="006C4C0B" w:rsidRDefault="006C4C0B" w:rsidP="006C4C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0B" w:rsidRDefault="006C4C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0B" w:rsidRDefault="006C4C0B" w:rsidP="006C4C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C0B" w:rsidRPr="006C4C0B" w:rsidRDefault="006C4C0B" w:rsidP="006C4C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0B" w:rsidRDefault="006C4C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C0B"/>
    <w:rsid w:val="006C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C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C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C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C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4C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4C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4C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4C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810650" TargetMode="External"/><Relationship Id="rId26" Type="http://schemas.openxmlformats.org/officeDocument/2006/relationships/hyperlink" Target="http://online.zakon.kz/Document/?doc_id=31121659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2760211" TargetMode="External"/><Relationship Id="rId34" Type="http://schemas.openxmlformats.org/officeDocument/2006/relationships/hyperlink" Target="http://online.zakon.kz/Document/?doc_id=37042031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11000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0" Type="http://schemas.openxmlformats.org/officeDocument/2006/relationships/hyperlink" Target="http://online.zakon.kz/Document/?doc_id=33319116" TargetMode="External"/><Relationship Id="rId29" Type="http://schemas.openxmlformats.org/officeDocument/2006/relationships/hyperlink" Target="http://online.zakon.kz/Document/?doc_id=30820388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yperlink" Target="http://online.zakon.kz/Document/?doc_id=38929901" TargetMode="External"/><Relationship Id="rId32" Type="http://schemas.openxmlformats.org/officeDocument/2006/relationships/hyperlink" Target="http://online.zakon.kz/Document/?doc_id=31100003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yperlink" Target="http://online.zakon.kz/Document/?doc_id=31121659" TargetMode="External"/><Relationship Id="rId28" Type="http://schemas.openxmlformats.org/officeDocument/2006/relationships/hyperlink" Target="http://online.zakon.kz/Document/?doc_id=31121659" TargetMode="External"/><Relationship Id="rId36" Type="http://schemas.openxmlformats.org/officeDocument/2006/relationships/hyperlink" Target="http://online.zakon.kz/Document/?doc_id=37042031" TargetMode="External"/><Relationship Id="rId10" Type="http://schemas.openxmlformats.org/officeDocument/2006/relationships/hyperlink" Target="http://online.zakon.kz/Document/?doc_id=35871159" TargetMode="External"/><Relationship Id="rId19" Type="http://schemas.openxmlformats.org/officeDocument/2006/relationships/hyperlink" Target="http://online.zakon.kz/Document/?doc_id=33420820" TargetMode="External"/><Relationship Id="rId31" Type="http://schemas.openxmlformats.org/officeDocument/2006/relationships/hyperlink" Target="http://online.zakon.kz/Document/?doc_id=31121659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3230575" TargetMode="External"/><Relationship Id="rId27" Type="http://schemas.openxmlformats.org/officeDocument/2006/relationships/hyperlink" Target="http://online.zakon.kz/Document/?doc_id=35234110" TargetMode="External"/><Relationship Id="rId30" Type="http://schemas.openxmlformats.org/officeDocument/2006/relationships/hyperlink" Target="http://online.zakon.kz/Document/?doc_id=38325102" TargetMode="External"/><Relationship Id="rId35" Type="http://schemas.openxmlformats.org/officeDocument/2006/relationships/hyperlink" Target="http://online.zakon.kz/Document/?doc_id=35871159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076009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2886530" TargetMode="External"/><Relationship Id="rId25" Type="http://schemas.openxmlformats.org/officeDocument/2006/relationships/hyperlink" Target="http://online.zakon.kz/Document/?doc_id=31121659" TargetMode="External"/><Relationship Id="rId33" Type="http://schemas.openxmlformats.org/officeDocument/2006/relationships/hyperlink" Target="http://online.zakon.kz/Document/?doc_id=35871159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1781</Words>
  <Characters>14668</Characters>
  <Application>Microsoft Office Word</Application>
  <DocSecurity>0</DocSecurity>
  <Lines>122</Lines>
  <Paragraphs>32</Paragraphs>
  <ScaleCrop>false</ScaleCrop>
  <Company/>
  <LinksUpToDate>false</LinksUpToDate>
  <CharactersWithSpaces>16417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2023)</dc:title>
  <dc:subject/>
  <dc:creator>Сергей М</dc:creator>
  <cp:keywords/>
  <dc:description/>
  <cp:lastModifiedBy>Сергей М</cp:lastModifiedBy>
  <cp:revision>2</cp:revision>
  <dcterms:created xsi:type="dcterms:W3CDTF">2023-09-16T06:29:00Z</dcterms:created>
  <dcterms:modified xsi:type="dcterms:W3CDTF">2023-09-16T06:29:00Z</dcterms:modified>
</cp:coreProperties>
</file>