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07DE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31873-2012 «Нефть и нефтепродукты. Методы ручного отбора проб» (с поправкой)</w:t>
      </w:r>
    </w:p>
    <w:p w:rsidR="00000000" w:rsidRDefault="00B807DE">
      <w:pPr>
        <w:pStyle w:val="pj"/>
      </w:pPr>
      <w:r>
        <w:rPr>
          <w:rStyle w:val="s0"/>
        </w:rPr>
        <w:t> </w:t>
      </w:r>
    </w:p>
    <w:p w:rsidR="00000000" w:rsidRDefault="00B807DE">
      <w:pPr>
        <w:pStyle w:val="pj"/>
      </w:pPr>
      <w:r>
        <w:rPr>
          <w:rStyle w:val="s0"/>
        </w:rPr>
        <w:t>МКС 75.080</w:t>
      </w:r>
    </w:p>
    <w:p w:rsidR="00000000" w:rsidRDefault="00B807DE">
      <w:pPr>
        <w:pStyle w:val="pj"/>
      </w:pPr>
      <w:r>
        <w:rPr>
          <w:rStyle w:val="s0"/>
        </w:rPr>
        <w:t xml:space="preserve">ОКСТУ 0209 </w:t>
      </w:r>
    </w:p>
    <w:p w:rsidR="00000000" w:rsidRDefault="00B807DE">
      <w:pPr>
        <w:pStyle w:val="pc"/>
      </w:pPr>
      <w:r>
        <w:rPr>
          <w:rStyle w:val="s1"/>
        </w:rPr>
        <w:t>Сведения о стандарте</w:t>
      </w:r>
    </w:p>
    <w:p w:rsidR="00000000" w:rsidRDefault="00B807DE">
      <w:pPr>
        <w:pStyle w:val="pj"/>
      </w:pPr>
      <w:r>
        <w:rPr>
          <w:rStyle w:val="s0"/>
        </w:rPr>
        <w:t> </w:t>
      </w:r>
    </w:p>
    <w:p w:rsidR="00000000" w:rsidRDefault="00B807DE">
      <w:pPr>
        <w:pStyle w:val="pj"/>
      </w:pPr>
      <w:r>
        <w:rPr>
          <w:rStyle w:val="s0"/>
        </w:rPr>
        <w:t>1 РАЗРАБОТАН Федеральным государственным унитарным предприятием «Всероссийский научно-исследовательский институт расходометрии» (ФГУП «ВНИИР»)</w:t>
      </w:r>
    </w:p>
    <w:p w:rsidR="00000000" w:rsidRDefault="00B807DE">
      <w:pPr>
        <w:pStyle w:val="pj"/>
      </w:pPr>
      <w:r>
        <w:rPr>
          <w:rStyle w:val="s0"/>
        </w:rPr>
        <w:t>2 ВНЕСЕН Федеральным агентством по техническому регулированию и метрологии (Росстандарт)</w:t>
      </w:r>
    </w:p>
    <w:p w:rsidR="00000000" w:rsidRDefault="00B807DE">
      <w:pPr>
        <w:pStyle w:val="pj"/>
      </w:pPr>
      <w:r>
        <w:rPr>
          <w:rStyle w:val="s0"/>
        </w:rPr>
        <w:t>3 ПРИНЯТ Межгосударствен</w:t>
      </w:r>
      <w:r>
        <w:rPr>
          <w:rStyle w:val="s0"/>
        </w:rPr>
        <w:t>ным советом по стандартизации, метрологии и сертификации (протокол от 15 ноября 2012 г. № 42)</w:t>
      </w:r>
    </w:p>
    <w:p w:rsidR="00000000" w:rsidRDefault="00B807DE">
      <w:pPr>
        <w:pStyle w:val="pj"/>
      </w:pPr>
      <w:r>
        <w:rPr>
          <w:rStyle w:val="s0"/>
        </w:rPr>
        <w:t> </w:t>
      </w:r>
    </w:p>
    <w:p w:rsidR="00000000" w:rsidRDefault="00B807DE">
      <w:pPr>
        <w:pStyle w:val="pj"/>
      </w:pPr>
      <w:r>
        <w:rPr>
          <w:rStyle w:val="s0"/>
        </w:rPr>
        <w:t>За принятие проголосовали:</w:t>
      </w:r>
    </w:p>
    <w:tbl>
      <w:tblPr>
        <w:tblW w:w="0" w:type="auto"/>
        <w:tblCellSpacing w:w="15" w:type="dxa"/>
        <w:tblInd w:w="-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42"/>
        <w:gridCol w:w="1994"/>
        <w:gridCol w:w="4575"/>
      </w:tblGrid>
      <w:tr w:rsidR="00000000">
        <w:trPr>
          <w:tblCellSpacing w:w="15" w:type="dxa"/>
        </w:trPr>
        <w:tc>
          <w:tcPr>
            <w:tcW w:w="3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c"/>
            </w:pPr>
            <w:r>
              <w:t xml:space="preserve">Краткое наименование страны по МК (ИСО 3166) 004-97 </w:t>
            </w:r>
          </w:p>
        </w:tc>
        <w:tc>
          <w:tcPr>
            <w:tcW w:w="22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c"/>
            </w:pPr>
            <w:r>
              <w:t>Код страны по МК (ИСО 3166) 004-97</w:t>
            </w:r>
          </w:p>
        </w:tc>
        <w:tc>
          <w:tcPr>
            <w:tcW w:w="5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c"/>
            </w:pPr>
            <w:r>
              <w:t>Сокращенное наименование национального</w:t>
            </w:r>
            <w:r>
              <w:t xml:space="preserve"> органа по стандартизации </w:t>
            </w:r>
          </w:p>
        </w:tc>
      </w:tr>
      <w:tr w:rsidR="00000000">
        <w:trPr>
          <w:tblCellSpacing w:w="15" w:type="dxa"/>
        </w:trPr>
        <w:tc>
          <w:tcPr>
            <w:tcW w:w="3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c"/>
              <w:spacing w:line="276" w:lineRule="auto"/>
              <w:jc w:val="left"/>
            </w:pPr>
            <w:r>
              <w:t>Азербайджан</w:t>
            </w:r>
          </w:p>
        </w:tc>
        <w:tc>
          <w:tcPr>
            <w:tcW w:w="22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c"/>
              <w:spacing w:line="276" w:lineRule="auto"/>
            </w:pPr>
            <w:r>
              <w:rPr>
                <w:lang w:val="en-US"/>
              </w:rPr>
              <w:t>AZ</w:t>
            </w:r>
          </w:p>
        </w:tc>
        <w:tc>
          <w:tcPr>
            <w:tcW w:w="5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c"/>
              <w:spacing w:line="276" w:lineRule="auto"/>
              <w:jc w:val="left"/>
            </w:pPr>
            <w:r>
              <w:t>Азстандарт</w:t>
            </w:r>
          </w:p>
        </w:tc>
      </w:tr>
      <w:tr w:rsidR="00000000">
        <w:trPr>
          <w:tblCellSpacing w:w="15" w:type="dxa"/>
        </w:trPr>
        <w:tc>
          <w:tcPr>
            <w:tcW w:w="3326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"/>
            </w:pPr>
            <w:r>
              <w:t xml:space="preserve">Армения </w:t>
            </w:r>
          </w:p>
        </w:tc>
        <w:tc>
          <w:tcPr>
            <w:tcW w:w="2218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c"/>
            </w:pPr>
            <w:r>
              <w:t>AM</w:t>
            </w:r>
          </w:p>
        </w:tc>
        <w:tc>
          <w:tcPr>
            <w:tcW w:w="517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"/>
            </w:pPr>
            <w:r>
              <w:t xml:space="preserve">Минэкономики Республики Армения </w:t>
            </w:r>
          </w:p>
        </w:tc>
      </w:tr>
      <w:tr w:rsidR="00000000">
        <w:trPr>
          <w:tblCellSpacing w:w="15" w:type="dxa"/>
        </w:trPr>
        <w:tc>
          <w:tcPr>
            <w:tcW w:w="3326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"/>
            </w:pPr>
            <w:r>
              <w:t xml:space="preserve">Беларусь </w:t>
            </w:r>
          </w:p>
        </w:tc>
        <w:tc>
          <w:tcPr>
            <w:tcW w:w="221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c"/>
            </w:pPr>
            <w:r>
              <w:t>BY</w:t>
            </w:r>
          </w:p>
        </w:tc>
        <w:tc>
          <w:tcPr>
            <w:tcW w:w="517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"/>
            </w:pPr>
            <w:r>
              <w:t xml:space="preserve">Госстандарт Республики Беларусь </w:t>
            </w:r>
          </w:p>
        </w:tc>
      </w:tr>
      <w:tr w:rsidR="00000000">
        <w:trPr>
          <w:tblCellSpacing w:w="15" w:type="dxa"/>
        </w:trPr>
        <w:tc>
          <w:tcPr>
            <w:tcW w:w="3326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"/>
            </w:pPr>
            <w:r>
              <w:t xml:space="preserve">Казахстан </w:t>
            </w:r>
          </w:p>
        </w:tc>
        <w:tc>
          <w:tcPr>
            <w:tcW w:w="221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c"/>
            </w:pPr>
            <w:r>
              <w:t>KZ</w:t>
            </w:r>
          </w:p>
        </w:tc>
        <w:tc>
          <w:tcPr>
            <w:tcW w:w="517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"/>
            </w:pPr>
            <w:r>
              <w:t xml:space="preserve">Госстандарт Республики Казахстан </w:t>
            </w:r>
          </w:p>
        </w:tc>
      </w:tr>
      <w:tr w:rsidR="00000000">
        <w:trPr>
          <w:tblCellSpacing w:w="15" w:type="dxa"/>
        </w:trPr>
        <w:tc>
          <w:tcPr>
            <w:tcW w:w="3326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"/>
            </w:pPr>
            <w:r>
              <w:t xml:space="preserve">Россия </w:t>
            </w:r>
          </w:p>
        </w:tc>
        <w:tc>
          <w:tcPr>
            <w:tcW w:w="221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c"/>
            </w:pPr>
            <w:r>
              <w:t>RU</w:t>
            </w:r>
          </w:p>
        </w:tc>
        <w:tc>
          <w:tcPr>
            <w:tcW w:w="517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"/>
            </w:pPr>
            <w:r>
              <w:t xml:space="preserve">Росстандарт </w:t>
            </w:r>
          </w:p>
        </w:tc>
      </w:tr>
      <w:tr w:rsidR="00000000">
        <w:trPr>
          <w:tblCellSpacing w:w="15" w:type="dxa"/>
        </w:trPr>
        <w:tc>
          <w:tcPr>
            <w:tcW w:w="3326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"/>
            </w:pPr>
            <w:r>
              <w:t xml:space="preserve">Таджикистан </w:t>
            </w:r>
          </w:p>
        </w:tc>
        <w:tc>
          <w:tcPr>
            <w:tcW w:w="221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c"/>
            </w:pPr>
            <w:r>
              <w:t>TJ</w:t>
            </w:r>
          </w:p>
        </w:tc>
        <w:tc>
          <w:tcPr>
            <w:tcW w:w="517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"/>
            </w:pPr>
            <w:r>
              <w:t xml:space="preserve">Таджикстандарт </w:t>
            </w:r>
          </w:p>
        </w:tc>
      </w:tr>
      <w:tr w:rsidR="00000000">
        <w:trPr>
          <w:tblCellSpacing w:w="15" w:type="dxa"/>
        </w:trPr>
        <w:tc>
          <w:tcPr>
            <w:tcW w:w="3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"/>
            </w:pPr>
            <w:r>
              <w:t>Узбекистан</w:t>
            </w:r>
          </w:p>
        </w:tc>
        <w:tc>
          <w:tcPr>
            <w:tcW w:w="22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c"/>
            </w:pPr>
            <w:r>
              <w:t xml:space="preserve">UZ </w:t>
            </w:r>
          </w:p>
        </w:tc>
        <w:tc>
          <w:tcPr>
            <w:tcW w:w="51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000000" w:rsidRDefault="00B807DE">
            <w:pPr>
              <w:pStyle w:val="p"/>
            </w:pPr>
            <w:r>
              <w:t>Узстандарт</w:t>
            </w:r>
          </w:p>
        </w:tc>
      </w:tr>
    </w:tbl>
    <w:p w:rsidR="00000000" w:rsidRDefault="00B807DE">
      <w:pPr>
        <w:pStyle w:val="pj"/>
      </w:pPr>
      <w:r>
        <w:rPr>
          <w:rStyle w:val="s0"/>
        </w:rPr>
        <w:t xml:space="preserve">С </w:t>
      </w:r>
      <w:hyperlink r:id="rId7" w:anchor="sub_id=85" w:history="1">
        <w:r>
          <w:rPr>
            <w:rStyle w:val="a4"/>
          </w:rPr>
          <w:t>поправкой</w:t>
        </w:r>
      </w:hyperlink>
    </w:p>
    <w:p w:rsidR="00000000" w:rsidRDefault="00B807DE">
      <w:pPr>
        <w:pStyle w:val="pj"/>
      </w:pPr>
      <w:r>
        <w:rPr>
          <w:rStyle w:val="s0"/>
        </w:rPr>
        <w:t> </w:t>
      </w:r>
    </w:p>
    <w:p w:rsidR="00000000" w:rsidRDefault="00B807DE">
      <w:pPr>
        <w:pStyle w:val="pj"/>
      </w:pPr>
      <w:r>
        <w:rPr>
          <w:rStyle w:val="s0"/>
        </w:rPr>
        <w:t xml:space="preserve">(Поправка. ИУС № 10-2014). </w:t>
      </w:r>
    </w:p>
    <w:p w:rsidR="00000000" w:rsidRDefault="00B807DE">
      <w:pPr>
        <w:pStyle w:val="pj"/>
      </w:pPr>
      <w:r>
        <w:rPr>
          <w:rStyle w:val="s0"/>
        </w:rPr>
        <w:t>4 Введен в действие на территории Республики Казахстан с 01.01.2015 г. (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индустрии и новых технологий РК от 24</w:t>
      </w:r>
      <w:r>
        <w:rPr>
          <w:rStyle w:val="s0"/>
        </w:rPr>
        <w:t xml:space="preserve"> июля 2014 года № 165-од)</w:t>
      </w:r>
    </w:p>
    <w:p w:rsidR="00000000" w:rsidRDefault="00B807DE">
      <w:pPr>
        <w:pStyle w:val="pj"/>
      </w:pPr>
      <w:r>
        <w:rPr>
          <w:rStyle w:val="s0"/>
        </w:rPr>
        <w:t>5 Настоящий стандарт соответствует международному документу ASTM D4057:2006 Standard Practice for Manual Sampling of Petroleum and Petroleum Products (Руководство по ручному отбору проб нефти и нефтепродуктов).</w:t>
      </w:r>
    </w:p>
    <w:p w:rsidR="00000000" w:rsidRDefault="00B807DE">
      <w:pPr>
        <w:pStyle w:val="pj"/>
      </w:pPr>
      <w:r>
        <w:rPr>
          <w:rStyle w:val="s0"/>
        </w:rPr>
        <w:t>Перевод с английско</w:t>
      </w:r>
      <w:r>
        <w:rPr>
          <w:rStyle w:val="s0"/>
        </w:rPr>
        <w:t>го языка (en).</w:t>
      </w:r>
    </w:p>
    <w:p w:rsidR="00000000" w:rsidRDefault="00B807DE">
      <w:pPr>
        <w:pStyle w:val="pj"/>
      </w:pPr>
      <w:r>
        <w:rPr>
          <w:rStyle w:val="s0"/>
        </w:rPr>
        <w:t>Степень соответствия - неэквивалентная (NEQ)</w:t>
      </w:r>
    </w:p>
    <w:p w:rsidR="00000000" w:rsidRDefault="00B807DE">
      <w:pPr>
        <w:pStyle w:val="pj"/>
      </w:pPr>
      <w:r>
        <w:rPr>
          <w:rStyle w:val="s0"/>
        </w:rPr>
        <w:t>6 ВВЕДЕН ВПЕРВЫЕ</w:t>
      </w:r>
    </w:p>
    <w:p w:rsidR="00000000" w:rsidRDefault="00B807DE">
      <w:pPr>
        <w:pStyle w:val="pj"/>
      </w:pPr>
      <w:r>
        <w:rPr>
          <w:rStyle w:val="s0"/>
        </w:rPr>
        <w:t> </w:t>
      </w:r>
    </w:p>
    <w:p w:rsidR="00000000" w:rsidRDefault="00B807DE">
      <w:pPr>
        <w:pStyle w:val="p"/>
      </w:pPr>
      <w:r>
        <w:rPr>
          <w:i/>
          <w:iCs/>
        </w:rPr>
        <w:t>Информация об изменениях к настоящему стандарту публикуется в ежегодном информационном указателе «Национальные стандарты», а текст изменений и поправок - в ежемесячном информаци</w:t>
      </w:r>
      <w:r>
        <w:rPr>
          <w:i/>
          <w:iCs/>
        </w:rPr>
        <w:t>онном указателе «Национальные стандарты». В случае пересмотра (замены) или отмены настоящего стандарта соответствующее уведомление будет опубликовано в ежемесячном информационном указателе «Национальные стандарты». Соответствующая информация, уведомление и</w:t>
      </w:r>
      <w:r>
        <w:rPr>
          <w:i/>
          <w:iCs/>
        </w:rPr>
        <w:t xml:space="preserve"> тексты размещаются также в информационной системе общего пользования - на официальном сайте Федерального агентства по техническому регулированию и метрологии в сети Интернет</w:t>
      </w:r>
    </w:p>
    <w:p w:rsidR="00000000" w:rsidRDefault="00B807DE">
      <w:pPr>
        <w:pStyle w:val="pj"/>
      </w:pPr>
      <w:r>
        <w:rPr>
          <w:rStyle w:val="s0"/>
          <w:b/>
          <w:bCs/>
        </w:rPr>
        <w:t> </w:t>
      </w:r>
    </w:p>
    <w:p w:rsidR="00000000" w:rsidRDefault="00B807DE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7DE" w:rsidRDefault="00B807DE" w:rsidP="00B807DE">
      <w:r>
        <w:separator/>
      </w:r>
    </w:p>
  </w:endnote>
  <w:endnote w:type="continuationSeparator" w:id="0">
    <w:p w:rsidR="00B807DE" w:rsidRDefault="00B807DE" w:rsidP="00B80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7DE" w:rsidRDefault="00B807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7DE" w:rsidRDefault="00B807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7DE" w:rsidRDefault="00B807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7DE" w:rsidRDefault="00B807DE" w:rsidP="00B807DE">
      <w:r>
        <w:separator/>
      </w:r>
    </w:p>
  </w:footnote>
  <w:footnote w:type="continuationSeparator" w:id="0">
    <w:p w:rsidR="00B807DE" w:rsidRDefault="00B807DE" w:rsidP="00B807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7DE" w:rsidRDefault="00B807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7DE" w:rsidRDefault="00B807DE" w:rsidP="00B807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07DE" w:rsidRPr="00B807DE" w:rsidRDefault="00B807DE" w:rsidP="00B807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31873-2012 «Нефть и нефтепродукты. Методы ручного отбора проб» (с поправкой)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7DE" w:rsidRDefault="00B807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07DE"/>
    <w:rsid w:val="00B80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07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07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07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07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07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07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07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07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26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5695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1908</Characters>
  <Application>Microsoft Office Word</Application>
  <DocSecurity>0</DocSecurity>
  <Lines>15</Lines>
  <Paragraphs>4</Paragraphs>
  <ScaleCrop>false</ScaleCrop>
  <Company/>
  <LinksUpToDate>false</LinksUpToDate>
  <CharactersWithSpaces>2238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31873-2012 «Нефть и нефтепродукты. Методы ручного отбора проб» (с поправкой) (©Paragraph 2023)</dc:title>
  <dc:subject/>
  <dc:creator>Сергей М</dc:creator>
  <cp:keywords/>
  <dc:description/>
  <cp:lastModifiedBy>Сергей М</cp:lastModifiedBy>
  <cp:revision>2</cp:revision>
  <dcterms:created xsi:type="dcterms:W3CDTF">2023-11-14T03:53:00Z</dcterms:created>
  <dcterms:modified xsi:type="dcterms:W3CDTF">2023-11-14T03:53:00Z</dcterms:modified>
</cp:coreProperties>
</file>