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1B20">
      <w:pPr>
        <w:pStyle w:val="pc"/>
      </w:pPr>
      <w:bookmarkStart w:id="0" w:name="_GoBack"/>
      <w:bookmarkEnd w:id="0"/>
      <w:r>
        <w:rPr>
          <w:rStyle w:val="s1"/>
        </w:rPr>
        <w:t>Пресс-релиз № 7</w:t>
      </w:r>
      <w:r>
        <w:rPr>
          <w:rStyle w:val="s1"/>
        </w:rPr>
        <w:br/>
        <w:t>О сохранении базовой ставки на уровне 9,00%</w:t>
      </w:r>
    </w:p>
    <w:p w:rsidR="00000000" w:rsidRDefault="00D61B20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1B20">
            <w:pPr>
              <w:pStyle w:val="pj"/>
            </w:pPr>
            <w:r>
              <w:rPr>
                <w:rStyle w:val="s0"/>
              </w:rPr>
              <w:t>26 апреля 2021 г.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1B20">
            <w:pPr>
              <w:pStyle w:val="pr"/>
            </w:pPr>
            <w:r>
              <w:rPr>
                <w:rStyle w:val="s0"/>
              </w:rPr>
              <w:t>г. Нур-Султан</w:t>
            </w:r>
          </w:p>
        </w:tc>
      </w:tr>
    </w:tbl>
    <w:p w:rsidR="00000000" w:rsidRDefault="00D61B20">
      <w:pPr>
        <w:pStyle w:val="p"/>
      </w:pPr>
      <w:r>
        <w:t> </w:t>
      </w:r>
    </w:p>
    <w:p w:rsidR="00000000" w:rsidRDefault="00D61B20">
      <w:pPr>
        <w:pStyle w:val="pj"/>
      </w:pPr>
      <w:r>
        <w:rPr>
          <w:rStyle w:val="s0"/>
        </w:rPr>
        <w:t xml:space="preserve">Комитет по денежно-кредитной политике </w:t>
      </w:r>
      <w:hyperlink r:id="rId7" w:tgtFrame="_blank" w:history="1">
        <w:r>
          <w:rPr>
            <w:rStyle w:val="a4"/>
          </w:rPr>
          <w:t>Национального Банка 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  <w:b/>
          <w:bCs/>
        </w:rPr>
        <w:t>принял решение установить базовую ставку на уровне 9,00% годовых</w:t>
      </w:r>
      <w:r>
        <w:rPr>
          <w:rStyle w:val="s0"/>
        </w:rPr>
        <w:t xml:space="preserve"> с процентным коридором +/- 1,0 п.п. Соответственно, ставка по операциям постоянного доступа по предоставлению ликвидности составит 10,00% и по операциям постоянного доступа по изъятию ликвидн</w:t>
      </w:r>
      <w:r>
        <w:rPr>
          <w:rStyle w:val="s0"/>
        </w:rPr>
        <w:t>ости - 8,00%.</w:t>
      </w:r>
    </w:p>
    <w:p w:rsidR="00000000" w:rsidRDefault="00D61B20">
      <w:pPr>
        <w:pStyle w:val="pj"/>
      </w:pPr>
      <w:r>
        <w:rPr>
          <w:rStyle w:val="s0"/>
        </w:rPr>
        <w:t>Решение обусловлено сохранением действия проинфляционных факторов, несмотря на незначительное замедление фактической инфляции. Риски роста цен связаны с ростом тарифов на электроэнергию, повышением цен на бензин, уточнением параметров государ</w:t>
      </w:r>
      <w:r>
        <w:rPr>
          <w:rStyle w:val="s0"/>
        </w:rPr>
        <w:t>ственного бюджета, продолжающимся ростом внешних цен на продовольственные товары, ускорением инфляции в странах - торговых партнерах и возросшей вероятностью ухудшения ситуации с COVID-19 в мире на фоне возникающих проблем с вакцинацией. Во внутреннем сект</w:t>
      </w:r>
      <w:r>
        <w:rPr>
          <w:rStyle w:val="s0"/>
        </w:rPr>
        <w:t>оре наметились признаки восстановления деловой активности, свидетельствуя о постепенном оживлении спроса, чему способствует рост реальных денежных доходов населения.</w:t>
      </w:r>
    </w:p>
    <w:p w:rsidR="00000000" w:rsidRDefault="00D61B20">
      <w:pPr>
        <w:pStyle w:val="pj"/>
      </w:pPr>
      <w:r>
        <w:rPr>
          <w:rStyle w:val="s0"/>
        </w:rPr>
        <w:t>Динамика годовой инфляции формируется ниже оценок Национального Банка. По итогам марта 202</w:t>
      </w:r>
      <w:r>
        <w:rPr>
          <w:rStyle w:val="s0"/>
        </w:rPr>
        <w:t>1 года она снизилась до 7,0% по сравнению с 7,4% в феврале и январе 2021 года.</w:t>
      </w:r>
    </w:p>
    <w:p w:rsidR="00000000" w:rsidRDefault="00D61B20">
      <w:pPr>
        <w:pStyle w:val="pj"/>
      </w:pPr>
      <w:r>
        <w:rPr>
          <w:rStyle w:val="s0"/>
        </w:rPr>
        <w:t>Продовольственная компонента продолжает вносить основной вклад в инфляцию, несмотря на замедление годовых темпов роста цен с 11,6% в феврале до 10,7% в марте 2021 года. В структ</w:t>
      </w:r>
      <w:r>
        <w:rPr>
          <w:rStyle w:val="s0"/>
        </w:rPr>
        <w:t>уре продовольственных товаров отмечается замедление годовых темпов роста цен на большую часть продуктов питания, что во многом объясняется высокой базой 2020 года, когда на фоне возросшего спроса и разрыва цепочек поставок наблюдался значительный рост цен.</w:t>
      </w:r>
      <w:r>
        <w:rPr>
          <w:rStyle w:val="s0"/>
        </w:rPr>
        <w:t xml:space="preserve"> При этом годовой рост стоимости отдельных товаров (подсолнечного масла, яиц) продолжается.</w:t>
      </w:r>
    </w:p>
    <w:p w:rsidR="00000000" w:rsidRDefault="00D61B20">
      <w:pPr>
        <w:pStyle w:val="pj"/>
      </w:pPr>
      <w:r>
        <w:rPr>
          <w:rStyle w:val="s0"/>
        </w:rPr>
        <w:t>Инфляция непродовольственной компоненты ускорилась с 5,2% в феврале 2021 года до 5,6% в марте 2021 года. Это, в частности, обусловлено повышением цен на обувь, одеж</w:t>
      </w:r>
      <w:r>
        <w:rPr>
          <w:rStyle w:val="s0"/>
        </w:rPr>
        <w:t>ду и бензин. Данные товары ранее оказывали основное сдерживающее влияние на непродовольственную инфляцию.</w:t>
      </w:r>
    </w:p>
    <w:p w:rsidR="00000000" w:rsidRDefault="00D61B20">
      <w:pPr>
        <w:pStyle w:val="pj"/>
      </w:pPr>
      <w:r>
        <w:rPr>
          <w:rStyle w:val="s0"/>
        </w:rPr>
        <w:t xml:space="preserve">Снижение темпов роста цен наблюдается на платные услуги. Инфляция данной компоненты замедлилась с 4,2% в декабре 2020 года до 3,7% в марте 2021 года. </w:t>
      </w:r>
      <w:r>
        <w:rPr>
          <w:rStyle w:val="s0"/>
        </w:rPr>
        <w:t>Основными факторами снижения стали годовая дефляция на регулируемые коммунальные услуги и замедление годовых темпов роста цен на аренду жилья и транспортные услуги.</w:t>
      </w:r>
    </w:p>
    <w:p w:rsidR="00000000" w:rsidRDefault="00D61B20">
      <w:pPr>
        <w:pStyle w:val="pj"/>
      </w:pPr>
      <w:r>
        <w:rPr>
          <w:rStyle w:val="s0"/>
        </w:rPr>
        <w:t>Различные оценки базовой инфляции свидетельствуют о формировании инфляционных процессов пре</w:t>
      </w:r>
      <w:r>
        <w:rPr>
          <w:rStyle w:val="s0"/>
        </w:rPr>
        <w:t>имущественно выше целевого коридора. В экономике по-прежнему сохраняется высокий рост цен на отдельные продовольственные товары, а динамика роста цен на некоторые непродовольственные товары и услуги может свидетельствовать о постепенном восстановлении потр</w:t>
      </w:r>
      <w:r>
        <w:rPr>
          <w:rStyle w:val="s0"/>
        </w:rPr>
        <w:t>ебительского спроса.</w:t>
      </w:r>
    </w:p>
    <w:p w:rsidR="00000000" w:rsidRDefault="00D61B20">
      <w:pPr>
        <w:pStyle w:val="pj"/>
      </w:pPr>
      <w:r>
        <w:rPr>
          <w:rStyle w:val="s0"/>
        </w:rPr>
        <w:t>Наблюдается повышение инфляционных ожиданий. В марте 2021 года количественная оценка инфляции на год вперед составила 6,9% (6,7% - в феврале 2021 года). Доля респондентов, ожидающих сохранения текущего роста либо более быстрого роста ц</w:t>
      </w:r>
      <w:r>
        <w:rPr>
          <w:rStyle w:val="s0"/>
        </w:rPr>
        <w:t>ен в течение следующих 12 месяцев, повысилась до 44% (42% - в феврале 2021 года).</w:t>
      </w:r>
    </w:p>
    <w:p w:rsidR="00000000" w:rsidRDefault="00D61B20">
      <w:pPr>
        <w:pStyle w:val="pj"/>
      </w:pPr>
      <w:r>
        <w:rPr>
          <w:rStyle w:val="s0"/>
        </w:rPr>
        <w:t>Ситуация во внутренней экономике постепенно улучшается и развивается в соответствии с прогнозами Национального Банка (рост на 3,4-3,7% в 2021 году). Экономика Казахстана по и</w:t>
      </w:r>
      <w:r>
        <w:rPr>
          <w:rStyle w:val="s0"/>
        </w:rPr>
        <w:t>тогам первого квартала 2021 года сократилась на 1,6% в годовом выражении. После снижения ВВП в январе темпы сокращения экономики в феврале замедлились. В марте динамика ВВП перешла в зону роста. Стабильный рост показали отрасли обрабатывающей промышленност</w:t>
      </w:r>
      <w:r>
        <w:rPr>
          <w:rStyle w:val="s0"/>
        </w:rPr>
        <w:t>и, строительства, информации и связи, сельского хозяйства и государственного сектора. Основной отрицательный вклад в динамику ВВП внесли отрасли горнодобывающей промышленности, торговли и транспорта.</w:t>
      </w:r>
    </w:p>
    <w:p w:rsidR="00000000" w:rsidRDefault="00D61B20">
      <w:pPr>
        <w:pStyle w:val="pj"/>
      </w:pPr>
      <w:r>
        <w:rPr>
          <w:rStyle w:val="s0"/>
        </w:rPr>
        <w:t>Итоги опроса предприятий Национальным Банком также указы</w:t>
      </w:r>
      <w:r>
        <w:rPr>
          <w:rStyle w:val="s0"/>
        </w:rPr>
        <w:t xml:space="preserve">вают на улучшение настроений в реальном секторе. В марте 2021 года индекс деловой активности превысил отметку 50 впервые с начала 2020 года, составив 50,6. Восстановление экономической активности наблюдается в промышленности и сфере услуг. В строительстве </w:t>
      </w:r>
      <w:r>
        <w:rPr>
          <w:rStyle w:val="s0"/>
        </w:rPr>
        <w:t>продолжилась тенденция снижения деловой активности, показатель уменьшился на 0,9 пункта. Также предприятия отмечают улучшение условий ведения бизнеса.</w:t>
      </w:r>
    </w:p>
    <w:p w:rsidR="00000000" w:rsidRDefault="00D61B20">
      <w:pPr>
        <w:pStyle w:val="pj"/>
      </w:pPr>
      <w:r>
        <w:rPr>
          <w:rStyle w:val="s0"/>
        </w:rPr>
        <w:t xml:space="preserve">В январе-феврале 2021 года реальные доходы населения продемонстрировали позитивную динамику и выросли на </w:t>
      </w:r>
      <w:r>
        <w:rPr>
          <w:rStyle w:val="s0"/>
        </w:rPr>
        <w:t>3,3%. Рост доходов обусловлен сохранением увеличения реальной заработной платы и пенсий.</w:t>
      </w:r>
    </w:p>
    <w:p w:rsidR="00000000" w:rsidRDefault="00D61B20">
      <w:pPr>
        <w:pStyle w:val="pj"/>
      </w:pPr>
      <w:r>
        <w:rPr>
          <w:rStyle w:val="s0"/>
        </w:rPr>
        <w:t>Ситуация во внешнем секторе остается неопределенной. На фоне проводимой вакцинации и принятия дополнительных мер финансовой поддержки в ряде стран ожидается более силь</w:t>
      </w:r>
      <w:r>
        <w:rPr>
          <w:rStyle w:val="s0"/>
        </w:rPr>
        <w:t>ный рост мировой экономики, чем прогнозировалось ранее. МВФ повысил прогнозы роста мировой экономики в 2021 году с 5,5% до 6,0%, в т.ч. среди экономик стран - торговых партнеров Казахстана: по ЕС - с 4,2% до 4,4%, по Китаю - с 8,1% до 8,4%, по России - с 3</w:t>
      </w:r>
      <w:r>
        <w:rPr>
          <w:rStyle w:val="s0"/>
        </w:rPr>
        <w:t>,0% до 3,8%. При этом МВФ пересмотрел рост экономики Казахстана в 2021 году по сравнению с октябрьской оценкой, с 3,0% до 3,2%.</w:t>
      </w:r>
    </w:p>
    <w:p w:rsidR="00000000" w:rsidRDefault="00D61B20">
      <w:pPr>
        <w:pStyle w:val="pj"/>
      </w:pPr>
      <w:r>
        <w:rPr>
          <w:rStyle w:val="s0"/>
        </w:rPr>
        <w:t>Одним из основных драйверов роста остается промышленность. При этом сохраняются риски более медленного восстановления глобальног</w:t>
      </w:r>
      <w:r>
        <w:rPr>
          <w:rStyle w:val="s0"/>
        </w:rPr>
        <w:t>о спроса ввиду нестабильной эпидемиологической ситуации в мире и появления новых штаммов коронавируса, ускорения инфляции в развитых странах, а также усиления геополитической напряженности.</w:t>
      </w:r>
    </w:p>
    <w:p w:rsidR="00000000" w:rsidRDefault="00D61B20">
      <w:pPr>
        <w:pStyle w:val="pj"/>
      </w:pPr>
      <w:r>
        <w:rPr>
          <w:rStyle w:val="s0"/>
        </w:rPr>
        <w:t xml:space="preserve">Продолжается рост цен на мировых продовольственных рынках. Индекс продовольственных цен ФАО растет десятый месяц подряд и в марте 2021 года составил 118,5 пункта, достигнув максимального значения с июня 2014 года. Это обусловлено подорожанием растительных </w:t>
      </w:r>
      <w:r>
        <w:rPr>
          <w:rStyle w:val="s0"/>
        </w:rPr>
        <w:t>масел, мяса и молочной продукции.</w:t>
      </w:r>
    </w:p>
    <w:p w:rsidR="00000000" w:rsidRDefault="00D61B20">
      <w:pPr>
        <w:pStyle w:val="pj"/>
      </w:pPr>
      <w:r>
        <w:rPr>
          <w:rStyle w:val="s0"/>
        </w:rPr>
        <w:t>В странах - торговых партнерах Казахстана наблюдается ускорение инфляционных процессов. В Китае после двухмесячной дефляции рост цен возобновился. По итогам марта 2021 года годовая инфляция составила 0,4%. В ЕС в марте 202</w:t>
      </w:r>
      <w:r>
        <w:rPr>
          <w:rStyle w:val="s0"/>
        </w:rPr>
        <w:t>1 года рост цен ускорился до 1,7%. В России на фоне повышенного инфляционного давления в условиях расширения спроса годовая инфляция ускорилась и сложилась на уровне 5,8%.</w:t>
      </w:r>
    </w:p>
    <w:p w:rsidR="00000000" w:rsidRDefault="00D61B20">
      <w:pPr>
        <w:pStyle w:val="pj"/>
      </w:pPr>
      <w:r>
        <w:rPr>
          <w:rStyle w:val="s0"/>
        </w:rPr>
        <w:t>На фоне растущего проинфляционного давления центральные банки отдельных развивающихс</w:t>
      </w:r>
      <w:r>
        <w:rPr>
          <w:rStyle w:val="s0"/>
        </w:rPr>
        <w:t>я стран, включая Россию, Турцию, Бразилию, Украину, в марте 2021 года ужесточили монетарные условия. С начала года Центральный банк России дважды повысил ключевую ставку - с 4,25% до 5,0%.</w:t>
      </w:r>
    </w:p>
    <w:p w:rsidR="00000000" w:rsidRDefault="00D61B20">
      <w:pPr>
        <w:pStyle w:val="pj"/>
      </w:pPr>
      <w:r>
        <w:rPr>
          <w:rStyle w:val="s0"/>
        </w:rPr>
        <w:t>Текущая ситуация на мировом рынке нефти улучшается при поддержке гл</w:t>
      </w:r>
      <w:r>
        <w:rPr>
          <w:rStyle w:val="s0"/>
        </w:rPr>
        <w:t>обальных программ вакцинации и пакетов стимулов в ключевых странах. Цена на нефть марки Brent с начала апреля 2021 года удерживается выше 62 долл. США за баррель. Дополнительным поддерживающим фактором является формирование дефицита нефти на фоне ускорения</w:t>
      </w:r>
      <w:r>
        <w:rPr>
          <w:rStyle w:val="s0"/>
        </w:rPr>
        <w:t xml:space="preserve"> потребления.</w:t>
      </w:r>
    </w:p>
    <w:p w:rsidR="00000000" w:rsidRDefault="00D61B20">
      <w:pPr>
        <w:pStyle w:val="pj"/>
      </w:pPr>
      <w:r>
        <w:rPr>
          <w:rStyle w:val="s0"/>
        </w:rPr>
        <w:t xml:space="preserve">С учетом быстрого восстановления потребления международные организации незначительно скорректировали свои прогнозы в сторону повышения. По оценкам EIA, среднегодовая цена на нефть марки Brent в 2021 году составит 62,3 долл. США за баррель, в </w:t>
      </w:r>
      <w:r>
        <w:rPr>
          <w:rStyle w:val="s0"/>
        </w:rPr>
        <w:t>2022 году - 60,5 долл. США за баррель. Основные риски будущего развития рынка нефти связаны с дальнейшей динамикой заболеваемости COVID-19, темпами наращивания добычи ОПЕК+ и потенциальным увеличением экспорта со стороны Ирана.</w:t>
      </w:r>
    </w:p>
    <w:p w:rsidR="00000000" w:rsidRDefault="00D61B20">
      <w:pPr>
        <w:pStyle w:val="pj"/>
      </w:pPr>
      <w:r>
        <w:rPr>
          <w:rStyle w:val="s0"/>
        </w:rPr>
        <w:t>С учетом внешних и внутренни</w:t>
      </w:r>
      <w:r>
        <w:rPr>
          <w:rStyle w:val="s0"/>
        </w:rPr>
        <w:t>х проинфляционных рисков дальнейшее замедление годовой инфляции может происходить более медленными темпами. Ожидаемый рост тарифов на электроэнергию и увеличение расходов республиканского бюджета преимущественно за счет выделения дополнительного целевого т</w:t>
      </w:r>
      <w:r>
        <w:rPr>
          <w:rStyle w:val="s0"/>
        </w:rPr>
        <w:t>рансферта из Национального фонда на 850 млрд тенге являются новыми условиями прогноза и требуют оценки влияния на траекторию инфляции в краткосрочном и среднесрочном периодах.</w:t>
      </w:r>
    </w:p>
    <w:p w:rsidR="00000000" w:rsidRDefault="00D61B20">
      <w:pPr>
        <w:pStyle w:val="pj"/>
      </w:pPr>
      <w:r>
        <w:rPr>
          <w:rStyle w:val="s0"/>
        </w:rPr>
        <w:t>Следующее решение по базовой ставке будет принято по результатам предстоящего пр</w:t>
      </w:r>
      <w:r>
        <w:rPr>
          <w:rStyle w:val="s0"/>
        </w:rPr>
        <w:t>огнозного раунда «май - июнь 2021 года» и основано на обновленных прогнозах по инфляции и других макроэкономических показателей, а также балансе рисков.</w:t>
      </w:r>
    </w:p>
    <w:p w:rsidR="00000000" w:rsidRDefault="00D61B20">
      <w:pPr>
        <w:pStyle w:val="pj"/>
      </w:pPr>
      <w:r>
        <w:rPr>
          <w:rStyle w:val="s0"/>
        </w:rPr>
        <w:t>Очередное плановое решение Комитета по денежно-кредитной политике Национального Банка Республики Казахс</w:t>
      </w:r>
      <w:r>
        <w:rPr>
          <w:rStyle w:val="s0"/>
        </w:rPr>
        <w:t>тан по базовой ставке будет объявлено 7 июня 2021 года в 15:00 по времени Нур-Султана.</w:t>
      </w:r>
    </w:p>
    <w:p w:rsidR="00000000" w:rsidRDefault="00D61B20">
      <w:pPr>
        <w:pStyle w:val="pj"/>
      </w:pPr>
      <w:r>
        <w:rPr>
          <w:rStyle w:val="s0"/>
        </w:rPr>
        <w:t> </w:t>
      </w:r>
    </w:p>
    <w:p w:rsidR="00000000" w:rsidRDefault="00D61B20">
      <w:pPr>
        <w:pStyle w:val="pj"/>
      </w:pPr>
      <w:r>
        <w:rPr>
          <w:rStyle w:val="s0"/>
        </w:rPr>
        <w:t> </w:t>
      </w:r>
    </w:p>
    <w:p w:rsidR="00000000" w:rsidRDefault="00D61B20">
      <w:pPr>
        <w:pStyle w:val="pj"/>
      </w:pPr>
      <w:r>
        <w:rPr>
          <w:rStyle w:val="s0"/>
        </w:rPr>
        <w:t> </w:t>
      </w:r>
    </w:p>
    <w:p w:rsidR="00000000" w:rsidRDefault="00D61B20">
      <w:pPr>
        <w:pStyle w:val="p"/>
      </w:pPr>
      <w:r>
        <w:t> </w:t>
      </w:r>
    </w:p>
    <w:p w:rsidR="00000000" w:rsidRDefault="00D61B20">
      <w:pPr>
        <w:pStyle w:val="p"/>
      </w:pPr>
      <w:r>
        <w:rPr>
          <w:sz w:val="20"/>
          <w:szCs w:val="20"/>
        </w:rPr>
        <w:t> </w:t>
      </w:r>
    </w:p>
    <w:p w:rsidR="00000000" w:rsidRDefault="00D61B20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8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B20" w:rsidRDefault="00D61B20" w:rsidP="00D61B20">
      <w:r>
        <w:separator/>
      </w:r>
    </w:p>
  </w:endnote>
  <w:endnote w:type="continuationSeparator" w:id="0">
    <w:p w:rsidR="00D61B20" w:rsidRDefault="00D61B20" w:rsidP="00D61B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B20" w:rsidRDefault="00D61B20" w:rsidP="00D61B20">
      <w:r>
        <w:separator/>
      </w:r>
    </w:p>
  </w:footnote>
  <w:footnote w:type="continuationSeparator" w:id="0">
    <w:p w:rsidR="00D61B20" w:rsidRDefault="00D61B20" w:rsidP="00D61B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 w:rsidP="00D61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1B20" w:rsidRPr="00D61B20" w:rsidRDefault="00D61B20" w:rsidP="00D61B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сохранении базовой ставки на уровне 9,00% (пресс-релиз НБ РК от 26.04.2021 г. № 7)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B20" w:rsidRDefault="00D61B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1B20"/>
    <w:rsid w:val="00D61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1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1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1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1B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1B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1B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1B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1B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/ru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1203</Words>
  <Characters>6863</Characters>
  <Application>Microsoft Office Word</Application>
  <DocSecurity>0</DocSecurity>
  <Lines>57</Lines>
  <Paragraphs>16</Paragraphs>
  <ScaleCrop>false</ScaleCrop>
  <Company/>
  <LinksUpToDate>false</LinksUpToDate>
  <CharactersWithSpaces>8050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2025-08-26T01:15:00Z</dcterms:created>
  <dcterms:modified xsi:type="dcterms:W3CDTF">2025-08-26T01:15:00Z</dcterms:modified>
</cp:coreProperties>
</file>