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A3952">
      <w:pPr>
        <w:pStyle w:val="pr"/>
      </w:pPr>
      <w:bookmarkStart w:id="0" w:name="_GoBack"/>
      <w:bookmarkEnd w:id="0"/>
      <w:r>
        <w:rPr>
          <w:rStyle w:val="s0"/>
        </w:rPr>
        <w:t>07.11.2018</w:t>
      </w:r>
    </w:p>
    <w:p w:rsidR="00000000" w:rsidRDefault="00DA3952">
      <w:pPr>
        <w:pStyle w:val="pc"/>
      </w:pPr>
      <w:r>
        <w:rPr>
          <w:b/>
          <w:bCs/>
        </w:rPr>
        <w:t>Второе издание (2017) стандартных форм контрактов FIDIC</w:t>
      </w:r>
    </w:p>
    <w:p w:rsidR="00000000" w:rsidRDefault="00DA3952">
      <w:pPr>
        <w:pStyle w:val="pc"/>
      </w:pPr>
      <w:r>
        <w:t> </w:t>
      </w:r>
    </w:p>
    <w:p w:rsidR="00000000" w:rsidRDefault="00DA3952">
      <w:pPr>
        <w:pStyle w:val="pj"/>
      </w:pPr>
      <w:r>
        <w:rPr>
          <w:b/>
          <w:bCs/>
          <w:u w:val="single"/>
        </w:rPr>
        <w:t>1. Введение</w:t>
      </w:r>
    </w:p>
    <w:p w:rsidR="00000000" w:rsidRDefault="00DA3952">
      <w:pPr>
        <w:pStyle w:val="pj"/>
      </w:pPr>
      <w:r>
        <w:t>5-6 декабря 2017 года Международная Федерация Инженеров-Консультантов (FIDIC) внесла существенные изменения в книги FIDIC 1999 (в так называемые, Желтую, Красную и Серебряную Книги), которые уже почти двадцать лет используются в строительной отрасли. Книги</w:t>
      </w:r>
      <w:r>
        <w:t xml:space="preserve"> FIDIC содержат стандартные условия контрактов на проектирование и выполнение строительно-монтажных работ. Согласно условиям, изложенным в стандартных формах FIDIC, подрядчики осуществляют проектирование и строительные работы, как правило, с предоставление</w:t>
      </w:r>
      <w:r>
        <w:t xml:space="preserve">м оборудования и транспортных средств, в рамках исполнения договора. Желтая, Красная и Серебряная Книги FIDIC часто используются в строительных проектах, как в Казахстане, так и странах СНГ. </w:t>
      </w:r>
    </w:p>
    <w:p w:rsidR="00000000" w:rsidRDefault="00DA3952">
      <w:pPr>
        <w:pStyle w:val="pj"/>
      </w:pPr>
      <w:r>
        <w:t>Принимая во внимание мнение многих практикующих специалистов стр</w:t>
      </w:r>
      <w:r>
        <w:t xml:space="preserve">оительной отрасли о необходимости отразить в стандартных формах FIDIC различные практические аспекты реализации строительных проектов, Международной Федерацией Инженеров-Консультантов были внесены соответствующие изменения и дополнения в книги FIDIC. </w:t>
      </w:r>
    </w:p>
    <w:p w:rsidR="00000000" w:rsidRDefault="00DA3952">
      <w:pPr>
        <w:pStyle w:val="pj"/>
      </w:pPr>
      <w:r>
        <w:rPr>
          <w:b/>
          <w:bCs/>
        </w:rPr>
        <w:t> </w:t>
      </w:r>
    </w:p>
    <w:p w:rsidR="00000000" w:rsidRDefault="00DA3952">
      <w:pPr>
        <w:pStyle w:val="pj"/>
      </w:pPr>
      <w:r>
        <w:rPr>
          <w:b/>
          <w:bCs/>
          <w:u w:val="single"/>
        </w:rPr>
        <w:t>2.</w:t>
      </w:r>
      <w:r>
        <w:rPr>
          <w:b/>
          <w:bCs/>
          <w:u w:val="single"/>
        </w:rPr>
        <w:t xml:space="preserve"> Общие положения</w:t>
      </w:r>
    </w:p>
    <w:p w:rsidR="00000000" w:rsidRDefault="00DA3952">
      <w:pPr>
        <w:pStyle w:val="pj"/>
      </w:pPr>
      <w:r>
        <w:t>Изменения и дополнения, внесенные в книги FIDIC (1-е издание 1999 года), достаточно существенны. Во-первых, изменения касаются определений, используемых в контракте: можно найти более 30 (тридцати) новых определений, включенных в стандартн</w:t>
      </w:r>
      <w:r>
        <w:t>ые формы. Во-вторых, изменения относятся не только к введению новых определений и положений, но также касаются структуры форм контрактов: некоторые положения, были перенесены из одного раздела в другой, либо два раздела - объединены в один (например, подпу</w:t>
      </w:r>
      <w:r>
        <w:t>нкты 4.23 и 4.24). Также, книги FIDIC были значительно расширены (почти в два раза), что привнесло некоторую сложность для работы с особыми условиями. Новые определения, структура и объем в стандартных формах FIDIC (второе издание) можно расценивать, скоре</w:t>
      </w:r>
      <w:r>
        <w:t xml:space="preserve">е, как стандартные формы FIDIC, принятые в новой редакции, чем как отредактированную версию FIDIC (первое издание). </w:t>
      </w:r>
    </w:p>
    <w:p w:rsidR="00000000" w:rsidRDefault="00DA3952">
      <w:pPr>
        <w:pStyle w:val="pj"/>
      </w:pPr>
      <w:r>
        <w:t>Как упоминалось ранее, книги FIDIC широко используются заказчиками и подрядчиками для реализации проектов, которые могут различаться в зави</w:t>
      </w:r>
      <w:r>
        <w:t xml:space="preserve">симости от места их реализации, типа проектов, требований и целей заказчика, а также в зависимости от требований применимого законодательства. Таким образом, заказчики и подрядчики продолжают играть значительную роль в развитии строительной отрасли. Можно </w:t>
      </w:r>
      <w:r>
        <w:t>предположить, что изменения, внесенные в книги FIDIC, которых ожидали заказчики и подрядчики, отражают изменения в самой отрасли. В этом плане, роль заказчиков и подрядчиков в развитии книг FIDIC имеет большое значение. На наш взгляд, имеет смысл далее рас</w:t>
      </w:r>
      <w:r>
        <w:t>смотреть некоторые положения, регулирующие деятельность заказчиков и подрядчиков, в рамках обновленных стандартных форм FIDIC.</w:t>
      </w:r>
    </w:p>
    <w:p w:rsidR="00000000" w:rsidRDefault="00DA3952">
      <w:pPr>
        <w:pStyle w:val="pj"/>
      </w:pPr>
      <w:r>
        <w:t> </w:t>
      </w:r>
    </w:p>
    <w:p w:rsidR="00000000" w:rsidRDefault="00DA3952">
      <w:pPr>
        <w:pStyle w:val="pj"/>
      </w:pPr>
      <w:r>
        <w:rPr>
          <w:b/>
          <w:bCs/>
          <w:u w:val="single"/>
        </w:rPr>
        <w:t>3. Подробное описание изменений</w:t>
      </w:r>
    </w:p>
    <w:p w:rsidR="00000000" w:rsidRDefault="00DA3952">
      <w:pPr>
        <w:pStyle w:val="pj"/>
      </w:pPr>
      <w:r>
        <w:t>Ниже мы рассматриваем основные изменения Условий контракта на поставку оборудования, проектиров</w:t>
      </w:r>
      <w:r>
        <w:t>ание и строительство (Желтая Книга), которые, в значительной степени, также отражены в Условиях контракта на строительство (Красная Книга) и Условиях контрактов для проектов типа EPC (Engineering Procurement Construction) и для проектов, выполняемых «под к</w:t>
      </w:r>
      <w:r>
        <w:t xml:space="preserve">люч» (Серебряная Книга). </w:t>
      </w:r>
    </w:p>
    <w:p w:rsidR="00000000" w:rsidRDefault="00DA3952">
      <w:pPr>
        <w:pStyle w:val="pj"/>
      </w:pPr>
      <w:r>
        <w:rPr>
          <w:i/>
          <w:iCs/>
        </w:rPr>
        <w:t> </w:t>
      </w:r>
    </w:p>
    <w:p w:rsidR="00000000" w:rsidRDefault="00DA3952">
      <w:pPr>
        <w:pStyle w:val="pj"/>
      </w:pPr>
      <w:r>
        <w:rPr>
          <w:b/>
          <w:bCs/>
          <w:u w:val="single"/>
        </w:rPr>
        <w:t>Заказчик</w:t>
      </w:r>
    </w:p>
    <w:p w:rsidR="00000000" w:rsidRDefault="00DA3952">
      <w:pPr>
        <w:pStyle w:val="pj"/>
      </w:pPr>
      <w:r>
        <w:t>Права и обязанности заказчика регулируются пунктом 2 контракта. В целом, можно предположить, что пункт 2 не подвергся значительным изменениям. Положения, содержащиеся в первой редакции, представлены и во второй редакции</w:t>
      </w:r>
      <w:r>
        <w:t xml:space="preserve"> с учетом определенных исключений, изложенных ниже. </w:t>
      </w:r>
    </w:p>
    <w:p w:rsidR="00000000" w:rsidRDefault="00DA3952">
      <w:pPr>
        <w:pStyle w:val="pj"/>
      </w:pPr>
      <w:r>
        <w:t>Для начала можно рассмотреть новое положение, добавленное в пункт 2 ‘</w:t>
      </w:r>
      <w:r>
        <w:rPr>
          <w:i/>
          <w:iCs/>
        </w:rPr>
        <w:t xml:space="preserve">Поставляемые заказчиком материалы и оборудование заказчика’ </w:t>
      </w:r>
      <w:r>
        <w:t>(см. подпункт 2.6 Красной Книги и Серебряной Книги, соответственно), котор</w:t>
      </w:r>
      <w:r>
        <w:t>ое, в основном, требует от заказчика предоставить подрядчику свои материалы и оборудование. Если взглянуть далее на определение материалов и оборудования, то можно обнаружить ссылку на новый подпункт 1.1.34, который определяет материалы, поставляемые заказ</w:t>
      </w:r>
      <w:r>
        <w:t xml:space="preserve">чиком, как материалы (если имеются), поставляемые заказчиком подрядчику, а также к уже существующему подпункту 1.1.31, определяющему оборудование заказчика как приборы, оборудование, механизмы, строительное оборудование и (или) транспортные средства (если </w:t>
      </w:r>
      <w:r>
        <w:t>имеются), которые передаются Заказчиком в эксплуатацию Подрядчику. Другие характеристики, такие как сведения, сроки, обязательства, ставки и цены, должны быть указаны в требованиях заказчика, которые описывают цель (цели), для которой предназначены объекты</w:t>
      </w:r>
      <w:r>
        <w:t xml:space="preserve">, и другие условия осуществления строительства объектов. </w:t>
      </w:r>
    </w:p>
    <w:p w:rsidR="00000000" w:rsidRDefault="00DA3952">
      <w:pPr>
        <w:pStyle w:val="pj"/>
      </w:pPr>
      <w:r>
        <w:t>Доступ к поставляемым заказчиком материалам и к оборудованию заказчика может не быть получен подрядчиком незамедлительно. Руководство для подготовки особых условий и приложений предполагает, что под</w:t>
      </w:r>
      <w:r>
        <w:t>рядчик сначала осмотрит материалы и оборудование, а затем принимает их для эксплуатации, вождения, управления, использования или в иных случаях для контроля каждого отдельного компонента, поставляемых заказчиком материалов и оборудования заказчика. После (</w:t>
      </w:r>
      <w:r>
        <w:t xml:space="preserve">визуального) осмотра, поставляемые заказчиком материалы и оборудование заказчика находятся под наблюдением, охраной, контролем и ответственностью подрядчика. С точки зрения интересов подрядчика, в контракт могут быть включены положения, касающиеся осмотра </w:t>
      </w:r>
      <w:r>
        <w:t xml:space="preserve">поставляемых заказчиком материалов и оборудования заказчика. </w:t>
      </w:r>
    </w:p>
    <w:p w:rsidR="00000000" w:rsidRDefault="00DA3952">
      <w:pPr>
        <w:pStyle w:val="pj"/>
      </w:pPr>
      <w:r>
        <w:t>Наряду с новым подпунктом 2.6 [«</w:t>
      </w:r>
      <w:r>
        <w:rPr>
          <w:i/>
          <w:iCs/>
        </w:rPr>
        <w:t>Поставляемые заказчиком материалы и оборудование заказчика</w:t>
      </w:r>
      <w:r>
        <w:t>»], во втором издании было предусмотрено внесение значительных изменений в уже существующие подпункты, в</w:t>
      </w:r>
      <w:r>
        <w:t xml:space="preserve"> частности, в подпункт 2.4. [«Финансовые обязательства Заказчика»] (см. подпункт 2.4 Красной Книги и Серебряной Книги, соответственно). Изменения, в основном, касаются финансовых обязательств заказчика, которые теперь следует указывать в «контрактных данны</w:t>
      </w:r>
      <w:r>
        <w:t>х», разделе конкретных условий, которые заменили «</w:t>
      </w:r>
      <w:r>
        <w:rPr>
          <w:i/>
          <w:iCs/>
        </w:rPr>
        <w:t>приложение к оферте</w:t>
      </w:r>
      <w:r>
        <w:t>», содержащееся в первом издании.</w:t>
      </w:r>
    </w:p>
    <w:p w:rsidR="00000000" w:rsidRDefault="00DA3952">
      <w:pPr>
        <w:pStyle w:val="pj"/>
      </w:pPr>
      <w:r>
        <w:t>Также, второе издание предусматривает определенные условия для подрядчика, предназначенные для получения обоснованных доказательств платежеспособности за</w:t>
      </w:r>
      <w:r>
        <w:t>казчика оплачивать счета. Если, в соответствии с первым изданием, заказчику (по запросу подрядчика) требовалось представить обоснованные доказательства финансовых обязательств заказчика и его платежеспособность в отношении цены контракта, то второе издание</w:t>
      </w:r>
      <w:r>
        <w:t xml:space="preserve"> требует от заказчика сделать то же самое, если подрядчик: </w:t>
      </w:r>
    </w:p>
    <w:p w:rsidR="00000000" w:rsidRDefault="00DA3952">
      <w:pPr>
        <w:pStyle w:val="pj"/>
      </w:pPr>
      <w:r>
        <w:t>‘</w:t>
      </w:r>
      <w:r>
        <w:rPr>
          <w:i/>
          <w:iCs/>
        </w:rPr>
        <w:t>(a) получает указание на внесение изменения цены, превышающей 10% (десять процентов) от согласованной цены контракта, либо если общая сумма, указанная в изменениях, превышает тридцать процентов (</w:t>
      </w:r>
      <w:r>
        <w:rPr>
          <w:i/>
          <w:iCs/>
        </w:rPr>
        <w:t xml:space="preserve">30%) от согласованной цены контракта; </w:t>
      </w:r>
      <w:r>
        <w:rPr>
          <w:b/>
          <w:bCs/>
          <w:i/>
          <w:iCs/>
        </w:rPr>
        <w:t> </w:t>
      </w:r>
    </w:p>
    <w:p w:rsidR="00000000" w:rsidRDefault="00DA3952">
      <w:pPr>
        <w:pStyle w:val="pj"/>
      </w:pPr>
      <w:r>
        <w:rPr>
          <w:i/>
          <w:iCs/>
        </w:rPr>
        <w:t>(b) не получает платеж согласно соответствующему подпункту контракта; или</w:t>
      </w:r>
      <w:r>
        <w:rPr>
          <w:b/>
          <w:bCs/>
          <w:i/>
          <w:iCs/>
        </w:rPr>
        <w:t xml:space="preserve"> </w:t>
      </w:r>
    </w:p>
    <w:p w:rsidR="00000000" w:rsidRDefault="00DA3952">
      <w:pPr>
        <w:pStyle w:val="pj"/>
      </w:pPr>
      <w:r>
        <w:rPr>
          <w:i/>
          <w:iCs/>
        </w:rPr>
        <w:t>(c) ему становится известно о существенном изменении финансовых обязательств заказчика, о котором подрядчик не был уведомлен. ’</w:t>
      </w:r>
    </w:p>
    <w:p w:rsidR="00000000" w:rsidRDefault="00DA3952">
      <w:pPr>
        <w:pStyle w:val="pj"/>
      </w:pPr>
      <w:r>
        <w:t>Руководство п</w:t>
      </w:r>
      <w:r>
        <w:t>о подготовке особых условий и приложений не предполагает каких-либо формулировок или оказания содействия в этом отношении. В данном положении указывается только то, что финансовые обязательства заказчика по контракту должны быть подробно изложены в недавно</w:t>
      </w:r>
      <w:r>
        <w:t xml:space="preserve"> введенном разделе о контрактных данных. </w:t>
      </w:r>
    </w:p>
    <w:p w:rsidR="00000000" w:rsidRDefault="00DA3952">
      <w:pPr>
        <w:pStyle w:val="pj"/>
      </w:pPr>
      <w:r>
        <w:t> </w:t>
      </w:r>
    </w:p>
    <w:p w:rsidR="00000000" w:rsidRDefault="00DA3952">
      <w:pPr>
        <w:pStyle w:val="pj"/>
      </w:pPr>
      <w:r>
        <w:rPr>
          <w:b/>
          <w:bCs/>
          <w:u w:val="single"/>
        </w:rPr>
        <w:t>Подрядчик</w:t>
      </w:r>
    </w:p>
    <w:p w:rsidR="00000000" w:rsidRDefault="00DA3952">
      <w:pPr>
        <w:pStyle w:val="pj"/>
      </w:pPr>
      <w:r>
        <w:t>Одно из основных изменений к правам и обязанностям подрядчика (регулируемым пунктом 4) относится к обязательству подрядчика изменить размер обеспечения исполнения контракта. В результате кумулятивного у</w:t>
      </w:r>
      <w:r>
        <w:t xml:space="preserve">величения или уменьшения цены контракта более чем на двадцать процентов (20%) от согласованной цены контракта (в связи с изменением и/или корректировкой), подрядчик обязан изменить размер обеспечения исполнения контракта, в частности: </w:t>
      </w:r>
    </w:p>
    <w:p w:rsidR="00000000" w:rsidRDefault="00DA3952">
      <w:pPr>
        <w:pStyle w:val="pj"/>
      </w:pPr>
      <w:r>
        <w:t>«</w:t>
      </w:r>
      <w:r>
        <w:rPr>
          <w:i/>
          <w:iCs/>
        </w:rPr>
        <w:t>В случае такого уве</w:t>
      </w:r>
      <w:r>
        <w:rPr>
          <w:i/>
          <w:iCs/>
        </w:rPr>
        <w:t>личения по запросу заказчика, подрядчик обязан незамедлительно увеличить размер обеспечения исполнения контракта в указанной валюте на процент, равный кумулятивному увеличению. Если подрядчик понесет расходы в результате такого запроса заказчика, то должен</w:t>
      </w:r>
      <w:r>
        <w:rPr>
          <w:i/>
          <w:iCs/>
        </w:rPr>
        <w:t xml:space="preserve"> применяться подпункт 13.3.1 (изменение по указанию), как если бы такое увеличение было бы осуществлено по указанию инженера, или»</w:t>
      </w:r>
    </w:p>
    <w:p w:rsidR="00000000" w:rsidRDefault="00DA3952">
      <w:pPr>
        <w:pStyle w:val="pj"/>
      </w:pPr>
      <w:r>
        <w:t>«</w:t>
      </w:r>
      <w:r>
        <w:rPr>
          <w:i/>
          <w:iCs/>
        </w:rPr>
        <w:t>В случае такого уменьшения, при условии предварительного согласия заказчика, подрядчик может уменьшить размер обеспечения ис</w:t>
      </w:r>
      <w:r>
        <w:rPr>
          <w:i/>
          <w:iCs/>
        </w:rPr>
        <w:t>полнения контракта в указанной валюте на процент, равный кумулятивному уменьшению».</w:t>
      </w:r>
    </w:p>
    <w:p w:rsidR="00000000" w:rsidRDefault="00DA3952">
      <w:pPr>
        <w:pStyle w:val="pj"/>
      </w:pPr>
      <w:r>
        <w:t>Кроме того, в подпункте 4.2 предусмотрены случаи, при которых заказчик мог предъявить претензию (см. подпункт 4.2 Красной Книги и Серебряной Книги, соответственно). В переч</w:t>
      </w:r>
      <w:r>
        <w:t>ень случаев были внесены изменения (в дополнение к основаниям для предъявления претензий заказчиком, доступным в соответствии с первым изданием), и теперь претензия может быть предъявлена в случае неосуществления подрядчиком ремонта, возврата, переустановк</w:t>
      </w:r>
      <w:r>
        <w:t xml:space="preserve">и и повторного испытания любого дефектного или поврежденного оборудования, которое было вывезено со строительной площадки. </w:t>
      </w:r>
    </w:p>
    <w:p w:rsidR="00000000" w:rsidRDefault="00DA3952">
      <w:pPr>
        <w:pStyle w:val="pj"/>
      </w:pPr>
      <w:r>
        <w:t>Положения, относящиеся к правам и обязанностям подрядчика, были также изменены, в частности, в отношении передачи работ на субподряд согласно подпункту 4.4 (см. подпункт 5.1 Красной Книги и подпункт 4.4 Серебряной Книги, соответственно), который был расшир</w:t>
      </w:r>
      <w:r>
        <w:t>ен: в первом издании указывалось, что подрядчик не вправе заключать договор субподряда на строительство всех объектов, и что за действия или ошибки любого субподрядчика, его представителя или персонала подрядчик отвечает как за свои собственные. Второе изд</w:t>
      </w:r>
      <w:r>
        <w:t xml:space="preserve">ание, в свою очередь, запрещает </w:t>
      </w:r>
      <w:r>
        <w:rPr>
          <w:i/>
          <w:iCs/>
        </w:rPr>
        <w:t>«заключение договоров с субподрядчиками с общей кумулятивной стоимостью, превышающей процентную долю согласованной цены контракта, указанную в контрактных данных или на строительство любой части объектов, для которых заключе</w:t>
      </w:r>
      <w:r>
        <w:rPr>
          <w:i/>
          <w:iCs/>
        </w:rPr>
        <w:t>ние договора с субподрядчиком не разрешается, как указано в контрактных данных»</w:t>
      </w:r>
      <w:r>
        <w:t>. С точки зрения формулировки, второе издание также относит объекты, строительство по которым осуществляется субподрядчиками, наряду с их действиями или ошибками, за которые нес</w:t>
      </w:r>
      <w:r>
        <w:t>ет ответственность и подрядчик. Предполагается, что теперь новая формулировка привнесет больше ясности в подпункт 4.4, и что особое значение будет уделяться информации, содержащейся в разделе «контрактные данные». Также, во втором издании от подрядчика тре</w:t>
      </w:r>
      <w:r>
        <w:t>буется предоставить инженеру подробную информацию о предлагаемом субподрядчике (т.е., наименование, адрес, подробные сведения и соответствующий опыт работы предлагаемого субподрядчика), а также об объекте, предназначенном для строительства в рамках субподр</w:t>
      </w:r>
      <w:r>
        <w:t xml:space="preserve">ядного договора, включая дополнительную информацию, которую инженер может обоснованно потребовать, тогда как в первом издании не требовалось, чтобы подрядчик предоставлял инженеру такую подробную информацию о предлагаемом субподрядчике. </w:t>
      </w:r>
    </w:p>
    <w:p w:rsidR="00000000" w:rsidRDefault="00DA3952">
      <w:pPr>
        <w:pStyle w:val="pj"/>
      </w:pPr>
      <w:r>
        <w:t>Как мы упоминали в</w:t>
      </w:r>
      <w:r>
        <w:t>ыше, Желтая Книга FIDIC была значительно расширена, и подпункт 4.8 «</w:t>
      </w:r>
      <w:r>
        <w:rPr>
          <w:i/>
          <w:iCs/>
        </w:rPr>
        <w:t>Обязательство по охране труда и технике безопасности</w:t>
      </w:r>
      <w:r>
        <w:t>» (см. подпункт 4.8 Красной Книги и Серебряной Книги, соответственно) может служить примером такого расширения. В первом издании подрядч</w:t>
      </w:r>
      <w:r>
        <w:t>ик имел целый ряд обязанностей, связанных с соблюдением правил техники безопасности, обеспечением безопасности всех лиц, уполномоченных находиться на строительной площадке, принятием разумных мер по устранению помех на территории площадки, и прочие обязанн</w:t>
      </w:r>
      <w:r>
        <w:t>ости (например, ограждение, освещение, охрана, наблюдение и т. д.) для защиты населения, а также владельцев и арендаторов прилегающих земельных участков. Во втором издании обязанности подрядчика описаны более подробно, и важный момент заключается в том, чт</w:t>
      </w:r>
      <w:r>
        <w:t xml:space="preserve">о теперь подрядчик должен представить руководство по охране труда и технике безопасности, </w:t>
      </w:r>
      <w:r>
        <w:rPr>
          <w:i/>
          <w:iCs/>
        </w:rPr>
        <w:t>«специально подготовленное для объектов, строительной площадки и других мест, где подрядчик намерен выполнять работы</w:t>
      </w:r>
      <w:r>
        <w:t>». Предусмотрено несколько требований, предъявляем</w:t>
      </w:r>
      <w:r>
        <w:t>ых к руководству, которое подрядчик должен соблюдать, включая, помимо прочего, требования заказчика, обязательства подрядчика по охране и безопасности. Как правило, данное руководство не является постоянным документом и может подлежать пересмотру (і) подря</w:t>
      </w:r>
      <w:r>
        <w:t>дчиком, (ii) должностным лицом подрядчика по охране и безопасности, (ii) инженером по его обоснованному запросу. Наряду с разработкой руководства и его проверкой, подпунктом 4.8, у подрядчика также возникают обязательства по представлению отчетности, т.е.,</w:t>
      </w:r>
      <w:r>
        <w:t xml:space="preserve"> обязательства сообщать инженеру о сведениях в отношении любой аварии (независимо от того, стала ли авария причиной серьезной травмы или смерти), а также по ведению записей, касающихся здоровья и безопасности людей, и ущерба имуществу, если он будет нанесе</w:t>
      </w:r>
      <w:r>
        <w:t xml:space="preserve">н. </w:t>
      </w:r>
    </w:p>
    <w:p w:rsidR="00000000" w:rsidRDefault="00DA3952">
      <w:pPr>
        <w:pStyle w:val="pj"/>
      </w:pPr>
      <w:r>
        <w:t>Предполагается, что целью расширенного обеспечения охраны здоровья и безопасности было обеспечение здоровой и безопасной рабочей среды для всех лиц, уполномоченных находиться на строительной площадке и в других местах. Руководство рассматривается как д</w:t>
      </w:r>
      <w:r>
        <w:t>окумент, представленный в дополнение к любому другому аналогичному документу, требуемому в соответствии с действующими нормами и законами в области обеспечения безопасности труда.</w:t>
      </w:r>
      <w:r>
        <w:rPr>
          <w:b/>
          <w:bCs/>
        </w:rPr>
        <w:t xml:space="preserve"> </w:t>
      </w:r>
    </w:p>
    <w:p w:rsidR="00000000" w:rsidRDefault="00DA3952">
      <w:pPr>
        <w:pStyle w:val="pj"/>
      </w:pPr>
      <w:r>
        <w:t> </w:t>
      </w:r>
    </w:p>
    <w:p w:rsidR="00000000" w:rsidRDefault="00DA3952">
      <w:pPr>
        <w:pStyle w:val="pj"/>
      </w:pPr>
      <w:r>
        <w:rPr>
          <w:b/>
          <w:bCs/>
          <w:u w:val="single"/>
        </w:rPr>
        <w:t>Инженер</w:t>
      </w:r>
    </w:p>
    <w:p w:rsidR="00000000" w:rsidRDefault="00DA3952">
      <w:pPr>
        <w:pStyle w:val="pj"/>
      </w:pPr>
      <w:r>
        <w:t>2-е издание «Желтой Книги» вносит фундаментальные изменения в рол</w:t>
      </w:r>
      <w:r>
        <w:t>ь Инженера в строительных проектах. Тем временем, формулировка некоторых положений из предыдущих версий контрактов сохранена. Изменения в роли Инженера в Желтой Книге также вносятся по аналогии в Красную Книгу (согласно положениям Серебряной книги, инженер</w:t>
      </w:r>
      <w:r>
        <w:t xml:space="preserve"> не участвует в процессе строительства). </w:t>
      </w:r>
    </w:p>
    <w:p w:rsidR="00000000" w:rsidRDefault="00DA3952">
      <w:pPr>
        <w:pStyle w:val="pj"/>
      </w:pPr>
      <w:r>
        <w:t>Таким образом, одной из поправок является пункт 3.1., который требует назначения юридическим лицом специалиста в качестве инженера, обладающего соответствующими профессиональными качествами и свободно владеющим пре</w:t>
      </w:r>
      <w:r>
        <w:t xml:space="preserve">обладающим языком, используемым в рамках контракта. Кроме того, Инженер может передавать свои полномочия своему представителю, при условии, что пунктом 3.4. предусмотрено, что Инженер не вправе передавать свои полномочия по пунктам 3.7. и 15.1. контракта. </w:t>
      </w:r>
    </w:p>
    <w:p w:rsidR="00000000" w:rsidRDefault="00DA3952">
      <w:pPr>
        <w:pStyle w:val="pj"/>
      </w:pPr>
      <w:r>
        <w:t>Во втором издании внесены новые дополнительные статьи. Текст нового пункта 3.6. относится к пункту 3.4. 1-го издания. Формулировка была расширена, но общее представление осталось прежним. Пункт 3.7. относится к пункту 3.5. 1-го издания с существенными поп</w:t>
      </w:r>
      <w:r>
        <w:t xml:space="preserve">равками. Таким образом, в данном пункте предусмотрены следующие обновления: </w:t>
      </w:r>
    </w:p>
    <w:p w:rsidR="00000000" w:rsidRDefault="00DA3952">
      <w:pPr>
        <w:pStyle w:val="pj"/>
      </w:pPr>
      <w:r>
        <w:t>- Инженер обязан действовать нейтрально, и не считается, что он представляет интересы заказчика;</w:t>
      </w:r>
    </w:p>
    <w:p w:rsidR="00000000" w:rsidRDefault="00DA3952">
      <w:pPr>
        <w:pStyle w:val="pj"/>
      </w:pPr>
      <w:r>
        <w:t>- общие поправки к процедуре, заключающейся в том, каким образом Инженер должен да</w:t>
      </w:r>
      <w:r>
        <w:t xml:space="preserve">вать согласие или принимать решение по любому вопросу или требованию; </w:t>
      </w:r>
    </w:p>
    <w:p w:rsidR="00000000" w:rsidRDefault="00DA3952">
      <w:pPr>
        <w:pStyle w:val="pj"/>
      </w:pPr>
      <w:r>
        <w:t>- сроки;</w:t>
      </w:r>
    </w:p>
    <w:p w:rsidR="00000000" w:rsidRDefault="00DA3952">
      <w:pPr>
        <w:pStyle w:val="pj"/>
      </w:pPr>
      <w:r>
        <w:t>- влияние соглашения или определения;</w:t>
      </w:r>
    </w:p>
    <w:p w:rsidR="00000000" w:rsidRDefault="00DA3952">
      <w:pPr>
        <w:pStyle w:val="pj"/>
      </w:pPr>
      <w:r>
        <w:t>- несогласие с определением Инженера.</w:t>
      </w:r>
    </w:p>
    <w:p w:rsidR="00000000" w:rsidRDefault="00DA3952">
      <w:pPr>
        <w:pStyle w:val="pj"/>
      </w:pPr>
      <w:r>
        <w:t>Пункт 3.8. содержит новое положение о порядке проведения заседаний. Заседания признаются в виде веде</w:t>
      </w:r>
      <w:r>
        <w:t xml:space="preserve">ния и представления учетной документации FIDIC, хранящейся Инженером, в то же время такая документация не представляет собой уведомления согласно иным пунктам контракта. </w:t>
      </w:r>
    </w:p>
    <w:p w:rsidR="00000000" w:rsidRDefault="00DA3952">
      <w:pPr>
        <w:pStyle w:val="pj"/>
      </w:pPr>
      <w:r>
        <w:t>В целом, изменения, внесенные в положения, касающиеся обязательств и обязанностей Инж</w:t>
      </w:r>
      <w:r>
        <w:t xml:space="preserve">енера, могут быть определены следующим образом: </w:t>
      </w:r>
    </w:p>
    <w:p w:rsidR="00000000" w:rsidRDefault="00DA3952">
      <w:pPr>
        <w:pStyle w:val="pj"/>
      </w:pPr>
      <w:r>
        <w:t>1. Представление физического лица для выполнения действий в качестве Инженера.</w:t>
      </w:r>
    </w:p>
    <w:p w:rsidR="00000000" w:rsidRDefault="00DA3952">
      <w:pPr>
        <w:pStyle w:val="pj"/>
      </w:pPr>
      <w:r>
        <w:t xml:space="preserve">2. Новые подпункты, позволяющие Инженеру делегировать свои обязанности представителю. </w:t>
      </w:r>
    </w:p>
    <w:p w:rsidR="00000000" w:rsidRDefault="00DA3952">
      <w:pPr>
        <w:pStyle w:val="pj"/>
      </w:pPr>
      <w:r>
        <w:t>3. Измененная процедура инструкций Инжене</w:t>
      </w:r>
      <w:r>
        <w:t>ра.</w:t>
      </w:r>
    </w:p>
    <w:p w:rsidR="00000000" w:rsidRDefault="00DA3952">
      <w:pPr>
        <w:pStyle w:val="pj"/>
      </w:pPr>
      <w:r>
        <w:t xml:space="preserve">4. Изменения, вносимые в процедуру «Согласия или определения». Инженер должен действовать «нейтрально» при осуществлении своих полномочий согласно новому пункту 3.7. </w:t>
      </w:r>
    </w:p>
    <w:p w:rsidR="00000000" w:rsidRDefault="00DA3952">
      <w:pPr>
        <w:pStyle w:val="pj"/>
      </w:pPr>
      <w:r>
        <w:t>5. Понятие «уведомления о несогласии» (УОН) вводится в том случае, если любая из Стор</w:t>
      </w:r>
      <w:r>
        <w:t xml:space="preserve">он не согласна с решением Инженера. Срок в 28 дней необходим для представления УОН, в ином случаем определение рассматривается как принятое обеими Сторонами. </w:t>
      </w:r>
    </w:p>
    <w:p w:rsidR="00000000" w:rsidRDefault="00DA3952">
      <w:pPr>
        <w:pStyle w:val="pj"/>
      </w:pPr>
      <w:r>
        <w:t>6. Введение заседаний вместе с учетными записями, хранящимися у Инженера.</w:t>
      </w:r>
    </w:p>
    <w:p w:rsidR="00000000" w:rsidRDefault="00DA3952">
      <w:pPr>
        <w:pStyle w:val="pj"/>
      </w:pPr>
      <w:r>
        <w:t> </w:t>
      </w:r>
    </w:p>
    <w:p w:rsidR="00000000" w:rsidRDefault="00DA3952">
      <w:pPr>
        <w:pStyle w:val="pj"/>
      </w:pPr>
      <w:r>
        <w:rPr>
          <w:b/>
          <w:bCs/>
          <w:u w:val="single"/>
        </w:rPr>
        <w:t>Требования (претензии</w:t>
      </w:r>
      <w:r>
        <w:rPr>
          <w:b/>
          <w:bCs/>
          <w:u w:val="single"/>
        </w:rPr>
        <w:t>), споры и арбитраж</w:t>
      </w:r>
    </w:p>
    <w:p w:rsidR="00000000" w:rsidRDefault="00DA3952">
      <w:pPr>
        <w:pStyle w:val="pj"/>
      </w:pPr>
      <w:r>
        <w:t>В пункт 20 «Требования, споры и арбитраж» были внесены изменения и включены во второе издание в качестве «Требований заказчика и подрядчика». Правила в отношении Главы «Споры и арбитраж» указаны в пункте 21. Процедура предъявления требо</w:t>
      </w:r>
      <w:r>
        <w:t xml:space="preserve">ваний была представлена с существенными изменениями, которые могут быть определены следующим образом: </w:t>
      </w:r>
    </w:p>
    <w:p w:rsidR="00000000" w:rsidRDefault="00DA3952">
      <w:pPr>
        <w:pStyle w:val="pj"/>
      </w:pPr>
      <w:r>
        <w:t>- любая Сторона обязана передать «Уведомление о претензии» с целью его рассмотрения;</w:t>
      </w:r>
    </w:p>
    <w:p w:rsidR="00000000" w:rsidRDefault="00DA3952">
      <w:pPr>
        <w:pStyle w:val="pj"/>
      </w:pPr>
      <w:r>
        <w:t>- Инженер обязан дать предварительный ответ, и может на определенное</w:t>
      </w:r>
      <w:r>
        <w:t xml:space="preserve"> время исключить требование;</w:t>
      </w:r>
    </w:p>
    <w:p w:rsidR="00000000" w:rsidRDefault="00DA3952">
      <w:pPr>
        <w:pStyle w:val="pj"/>
      </w:pPr>
      <w:r>
        <w:t>- Представлены детали относительно текущей учетной документации;</w:t>
      </w:r>
    </w:p>
    <w:p w:rsidR="00000000" w:rsidRDefault="00DA3952">
      <w:pPr>
        <w:pStyle w:val="pj"/>
      </w:pPr>
      <w:r>
        <w:t>- Процедура Инженера для оценки претензии полностью изменилась;</w:t>
      </w:r>
      <w:r>
        <w:rPr>
          <w:b/>
          <w:bCs/>
        </w:rPr>
        <w:t xml:space="preserve"> </w:t>
      </w:r>
    </w:p>
    <w:p w:rsidR="00000000" w:rsidRDefault="00DA3952">
      <w:pPr>
        <w:pStyle w:val="pj"/>
      </w:pPr>
      <w:r>
        <w:t>- Внесение положения об Отказе от времени - временных пределов, которые подлежат оценке Советом п</w:t>
      </w:r>
      <w:r>
        <w:t>о урегулированию споров согласно процедуре для данного Совета.</w:t>
      </w:r>
    </w:p>
    <w:p w:rsidR="00000000" w:rsidRDefault="00DA3952">
      <w:pPr>
        <w:pStyle w:val="pj"/>
      </w:pPr>
      <w:r>
        <w:t xml:space="preserve">Новая процедура рассмотрения требований/претензий, споров и проведения арбитража был введена аналогичным образом для всех видов контрактов - Желтая Книга, Красная Книга и Серебряная Книга. </w:t>
      </w:r>
    </w:p>
    <w:p w:rsidR="00000000" w:rsidRDefault="00DA3952">
      <w:pPr>
        <w:pStyle w:val="pj"/>
      </w:pPr>
      <w:r>
        <w:t> </w:t>
      </w:r>
    </w:p>
    <w:p w:rsidR="00000000" w:rsidRDefault="00DA3952">
      <w:pPr>
        <w:pStyle w:val="pj"/>
      </w:pPr>
      <w:r>
        <w:rPr>
          <w:b/>
          <w:bCs/>
          <w:u w:val="single"/>
        </w:rPr>
        <w:t>Вывод</w:t>
      </w:r>
    </w:p>
    <w:p w:rsidR="00000000" w:rsidRDefault="00DA3952">
      <w:pPr>
        <w:pStyle w:val="pj"/>
      </w:pPr>
      <w:r>
        <w:t xml:space="preserve">Издатели Книг FIDIC (2-е издание), несомненно, внесли большой вклад в строительную отрасль в стремлении отразить основные изменения в данной отрасли, произошедшие за последние два десятилетия. Мы уже упоминали, что новые определения, новая структура </w:t>
      </w:r>
      <w:r>
        <w:t>и новые возможности и сфера применения представляют Книги FIDIC (2-е издание), скорее, новой формой контрактов, чем отредактированными ранними версиями. Однако, изменения в Книгах FIDIC не только отражают новые изменения в данной отрасли, но также поднимаю</w:t>
      </w:r>
      <w:r>
        <w:t xml:space="preserve">т новые проблемы, становясь предметом обсуждения для составителей, особенно в отношении толкования новых определений и положений, включенных в них. </w:t>
      </w:r>
    </w:p>
    <w:p w:rsidR="00000000" w:rsidRDefault="00DA3952">
      <w:pPr>
        <w:pStyle w:val="pj"/>
      </w:pPr>
      <w:r>
        <w:t> </w:t>
      </w:r>
    </w:p>
    <w:p w:rsidR="00000000" w:rsidRDefault="00DA3952">
      <w:pPr>
        <w:pStyle w:val="pj"/>
      </w:pPr>
      <w:r>
        <w:t>С уважением,</w:t>
      </w:r>
    </w:p>
    <w:p w:rsidR="00000000" w:rsidRDefault="00DA3952">
      <w:pPr>
        <w:pStyle w:val="pj"/>
      </w:pPr>
      <w:r>
        <w:t>Юридическая фирма GRATA International</w:t>
      </w:r>
    </w:p>
    <w:p w:rsidR="00000000" w:rsidRDefault="00DA3952">
      <w:pPr>
        <w:pStyle w:val="pj"/>
      </w:pPr>
      <w:r>
        <w:t xml:space="preserve">Ержан Есимханов, Партнер, email: </w:t>
      </w:r>
      <w:hyperlink r:id="rId7" w:tgtFrame="_blank" w:history="1">
        <w:r>
          <w:rPr>
            <w:rStyle w:val="a4"/>
          </w:rPr>
          <w:t>yyessimkhanov@gratanet.com</w:t>
        </w:r>
      </w:hyperlink>
      <w:r>
        <w:rPr>
          <w:color w:val="555555"/>
        </w:rPr>
        <w:t xml:space="preserve"> </w:t>
      </w:r>
    </w:p>
    <w:p w:rsidR="00000000" w:rsidRDefault="00DA3952">
      <w:pPr>
        <w:pStyle w:val="pj"/>
      </w:pPr>
      <w:r>
        <w:t xml:space="preserve">Дарья Жанысбаева, Старший юрист, email: </w:t>
      </w:r>
      <w:hyperlink r:id="rId8" w:tgtFrame="_blank" w:history="1">
        <w:r>
          <w:rPr>
            <w:rStyle w:val="a4"/>
          </w:rPr>
          <w:t>dzhanysbayeva@gratanet.com</w:t>
        </w:r>
      </w:hyperlink>
      <w:r>
        <w:t xml:space="preserve"> </w:t>
      </w:r>
    </w:p>
    <w:p w:rsidR="00000000" w:rsidRDefault="00DA3952">
      <w:pPr>
        <w:pStyle w:val="pj"/>
      </w:pPr>
      <w:r>
        <w:t xml:space="preserve">Ибрагим Куки, Старший юрист, email: </w:t>
      </w:r>
      <w:hyperlink r:id="rId9" w:tgtFrame="_blank" w:history="1">
        <w:r>
          <w:rPr>
            <w:rStyle w:val="a4"/>
          </w:rPr>
          <w:t>ikouky@gratanet.com</w:t>
        </w:r>
      </w:hyperlink>
      <w:r>
        <w:t xml:space="preserve"> </w:t>
      </w:r>
    </w:p>
    <w:p w:rsidR="00000000" w:rsidRDefault="00DA3952">
      <w:pPr>
        <w:pStyle w:val="pj"/>
      </w:pPr>
      <w:r>
        <w:t> </w:t>
      </w:r>
    </w:p>
    <w:p w:rsidR="00000000" w:rsidRDefault="00DA3952">
      <w:pPr>
        <w:pStyle w:val="pj"/>
      </w:pPr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52" w:rsidRDefault="00DA3952" w:rsidP="00DA3952">
      <w:r>
        <w:separator/>
      </w:r>
    </w:p>
  </w:endnote>
  <w:endnote w:type="continuationSeparator" w:id="0">
    <w:p w:rsidR="00DA3952" w:rsidRDefault="00DA3952" w:rsidP="00DA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952" w:rsidRDefault="00DA395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952" w:rsidRDefault="00DA395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952" w:rsidRDefault="00DA39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52" w:rsidRDefault="00DA3952" w:rsidP="00DA3952">
      <w:r>
        <w:separator/>
      </w:r>
    </w:p>
  </w:footnote>
  <w:footnote w:type="continuationSeparator" w:id="0">
    <w:p w:rsidR="00DA3952" w:rsidRDefault="00DA3952" w:rsidP="00DA3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952" w:rsidRDefault="00DA395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952" w:rsidRDefault="00DA3952" w:rsidP="00DA395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A3952" w:rsidRPr="00DA3952" w:rsidRDefault="00DA3952" w:rsidP="00DA395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Второе издание (2017) стандартных форм контрактов FIDIC (Ержан Есимханов, Партнер; Дарья Жанысбаева, Старший юрист; Ибрагим Куки, Старший юрист. Юридическая фирма GRATA International 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952" w:rsidRDefault="00DA395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A3952"/>
    <w:rsid w:val="00DA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A39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395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A39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395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A39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395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A39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395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hanysbayeva@gratanet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yyessimkhanov@gratanet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kouky@gratanet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2157</Words>
  <Characters>15258</Characters>
  <Application>Microsoft Office Word</Application>
  <DocSecurity>0</DocSecurity>
  <Lines>127</Lines>
  <Paragraphs>34</Paragraphs>
  <ScaleCrop>false</ScaleCrop>
  <Company/>
  <LinksUpToDate>false</LinksUpToDate>
  <CharactersWithSpaces>17381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2025-06-19T18:21:00Z</dcterms:created>
  <dcterms:modified xsi:type="dcterms:W3CDTF">2025-06-19T18:21:00Z</dcterms:modified>
</cp:coreProperties>
</file>