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77A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09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536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8477A4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Жакаева Лейла Султановна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8477A4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Профессор Научно-образовательного центра государственно-правовых дисциплин Академии правосудия при Верх</w:t>
            </w:r>
            <w:r>
              <w:t>овном Суде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03.03.1960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Караганда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477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дочь - Найля (1994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477A4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477A4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Московский государственный университет им. М.В. Ломоносова (1982)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«Правоведение»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Московский государственный университет им. М.В. Ломоносова, аспирантура (1987)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Кандидатская диссертация «Деятельность областных Советов народных депутатов по руководству социально-культурным строительством» защищена в Диссертационном совете К.053.05</w:t>
            </w:r>
            <w:r>
              <w:rPr>
                <w:rStyle w:val="s0"/>
              </w:rPr>
              <w:t>.31. при МГУ им. М.В. Ломоносова (1988). Научный руководитель: д.ю.н., профессор Авакьян С.А. Официальные оппоненты: д.ю.н., профессор Азовкин И.А., к.ю.н., доцент Фадеев В.И. Ведущая организация: Институт государства и права Академии наук СССР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Доце</w:t>
            </w:r>
            <w:r>
              <w:rPr>
                <w:rStyle w:val="s0"/>
              </w:rPr>
              <w:t>нт (2005)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Доктор юридических наук Российской Федерации (2008), диплом ВАК РФ подтвержден в Республике Казахстан (2013). Докторская диссертация «Конституционный процесс в Республике Казахстан: теоретико-правовые вопросы» защищена в Диссертационном Совете Д.501.001.74</w:t>
            </w:r>
            <w:r>
              <w:rPr>
                <w:rStyle w:val="s0"/>
              </w:rPr>
              <w:t xml:space="preserve">. при МГУ им. М.В. Ломоносова (2008). Научный консультант: заведующий кафедрой конституционного и муниципального права МГУ им. М.В. Ломоносова, д.ю.н., профессор, заслуженный деятель науки РФ Авакьян С.А. Официальные оппоненты: д.ю.н., профессор Автономов </w:t>
            </w:r>
            <w:r>
              <w:rPr>
                <w:rStyle w:val="s0"/>
              </w:rPr>
              <w:t>А.С.; д.ю.н., профессор Витрук Н.В.; д.ю.н., профессор Михалева Н.А. Ведущая организация: Институт законодательства и сравнительного правоведения при Правительстве Российской Федерации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Преподаватель кафедры государственного права </w:t>
            </w:r>
            <w:r>
              <w:rPr>
                <w:rStyle w:val="s0"/>
              </w:rPr>
              <w:t>и советского строительства Карагандинского государственного университета (1982-1984);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Аспирант юридического факультета Московского государственного университета им. М.В. Ломоносова (1984-1987);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преподаватель кафедры государственного и</w:t>
            </w:r>
            <w:r>
              <w:rPr>
                <w:rStyle w:val="s0"/>
              </w:rPr>
              <w:t xml:space="preserve"> международного права Карагандинского государственного университета им. Е.А. Букетова (1988-1997);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помощник прокурора района Карагандинской области (1997-2000);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Заведующий, доцент кафедры конституционного и международного права, помощ</w:t>
            </w:r>
            <w:r>
              <w:rPr>
                <w:rStyle w:val="s0"/>
              </w:rPr>
              <w:t>ник ректора (по совместительству), старший научный сотрудник Карагандинского государственного университета им. Е.А. Букетова (2000-2009);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научный сотрудник отдела правового мониторинга и анализа законодательства Института законодательства Ми</w:t>
            </w:r>
            <w:r>
              <w:rPr>
                <w:rStyle w:val="s0"/>
              </w:rPr>
              <w:t>нистерства юстиции РК (2009);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Генерального Прокурора РК Управления по надзору в сфере законотворческой деятельности Генеральной прокуратуры РК; старший помощник Генерального Прокурора РК Секретариата Генерального Прокурора РК (2009-2011);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Советник Председателя Сената Парламента РК (2011-2013);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заведующего отделом анализа и планирования Департамента по обеспечению деятельности судов при Верховном Суде РК (аппарата Верховного Суда РК) (2013-2019);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Руководитель </w:t>
            </w:r>
            <w:r>
              <w:t>Научного центра изучения проблем административного и уголовного правосудия НИИ судебно-правовых и инновационных проектов Академии правосудия при Верховном Суде РК (2019);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Профессор Научно-образовательного центра государственно-правовых дисциплин Ака</w:t>
            </w:r>
            <w:r>
              <w:t>демии правосудия при Верховном Суде РК (с 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аттестационной комиссии при Министерстве юстиции РК по аттестации лиц, претендующих на право занятия адвокатской либо нотариальной деятельностью (2010-2011);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Дисс</w:t>
            </w:r>
            <w:r>
              <w:rPr>
                <w:rStyle w:val="s0"/>
              </w:rPr>
              <w:t>ертационного совета по защите диссертаций на соискание ученой степени доктора философии (PhD) по специальностям «юриспруденция-6D030100», «международное право-6D030200» при Евразийском национальном университете имени Л.Н. Гумилева (с 2014);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Гос</w:t>
            </w:r>
            <w:r>
              <w:rPr>
                <w:rStyle w:val="s0"/>
              </w:rPr>
              <w:t>ударственной комиссии Академии государственного управления при Президенте Республики Казахстан по приему экзаменов на должность судьи специальности «6М030100 - юриспруденция» (2015,2016);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Государственной комиссии Академии правосудия при Верховн</w:t>
            </w:r>
            <w:r>
              <w:t>ом Суде Республики Казахстан по приему квалификационных экзаменов на должность судьи по специальности «6М030100 – юриспруденция» (2017);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 xml:space="preserve">Член Научно-консультативного совета при Верховном Суде Республики Казахстан по рассмотрению вопросов применения </w:t>
            </w:r>
            <w:r>
              <w:t xml:space="preserve">норм уголовного и уголовно-процессуального законодательства </w:t>
            </w:r>
            <w:r>
              <w:rPr>
                <w:rStyle w:val="s0"/>
              </w:rPr>
              <w:t>(</w:t>
            </w:r>
            <w:hyperlink r:id="rId8" w:history="1">
              <w:r>
                <w:rPr>
                  <w:rStyle w:val="a4"/>
                </w:rPr>
                <w:t>24.01.2018</w:t>
              </w:r>
            </w:hyperlink>
            <w:r>
              <w:rPr>
                <w:rStyle w:val="s0"/>
              </w:rPr>
              <w:t xml:space="preserve">, </w:t>
            </w:r>
            <w:hyperlink r:id="rId9" w:history="1">
              <w:r>
                <w:rPr>
                  <w:rStyle w:val="a4"/>
                </w:rPr>
                <w:t>05.02.2020</w:t>
              </w:r>
            </w:hyperlink>
            <w:r>
              <w:t xml:space="preserve">, </w:t>
            </w:r>
            <w:hyperlink r:id="rId10" w:history="1">
              <w:r>
                <w:rPr>
                  <w:rStyle w:val="a4"/>
                </w:rPr>
                <w:t>26.01.2021</w:t>
              </w:r>
            </w:hyperlink>
            <w:r>
              <w:t xml:space="preserve">, </w:t>
            </w:r>
            <w:hyperlink r:id="rId11" w:history="1">
              <w:r>
                <w:rPr>
                  <w:rStyle w:val="a4"/>
                </w:rPr>
                <w:t>21.04.2022</w:t>
              </w:r>
            </w:hyperlink>
            <w:r>
              <w:t xml:space="preserve">, с </w:t>
            </w:r>
            <w:hyperlink r:id="rId12" w:history="1">
              <w:r>
                <w:rPr>
                  <w:rStyle w:val="a4"/>
                </w:rPr>
                <w:t>14.03.2023</w:t>
              </w:r>
            </w:hyperlink>
            <w:r>
              <w:rPr>
                <w:rStyle w:val="s0"/>
              </w:rPr>
              <w:t>)</w:t>
            </w:r>
            <w:r>
              <w:t>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Совета по совершенствованию законотворческого процесса при Сенате Парламента Республики Казахстан (2019);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Экспертного совета при Центральной избирательной комиссии Республики Казахстан (с 2017);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Эксперт Астанинского хаба в сфере гос</w:t>
            </w:r>
            <w:r>
              <w:t>ударственной службы (ACSH) (с 2019);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Научно-консультативного совета при Конституционном Совете Республики Казахстан (2018-2022)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«Қазақстан Республикасының Тәуелсіздігіне 20 жыл» (2011,Указ Президента РК), «Қазақстан Республикасының прокуратурасына 20 жыл» (2011, Генеральная прокуратура РК), «15 лет юридическому факультету Евразийского национального университета им. Л.Н. Гум</w:t>
            </w:r>
            <w:r>
              <w:rPr>
                <w:rStyle w:val="s0"/>
              </w:rPr>
              <w:t xml:space="preserve">илева» (2014, ЕНУ), «Мінсіз қызметі үшін» III д. (2018, Верховный Суд РК); «Сот жүйесінің үздігі» (2019, Верховный Суд РК), «За вклад в укрепление конституционной законности» (2019, Конституционный Совет РК), «Қазақстан Конституциясына 25 жыл» (2020, Указ </w:t>
            </w:r>
            <w:r>
              <w:rPr>
                <w:rStyle w:val="s0"/>
              </w:rPr>
              <w:t>Президента РК), «Қазақстан Конституциясына 25 жыл» (2020, Конституционный Совет РК), «Қазақстан Республикасының сот жүйесіне 30 жыл» (2022, Верховный Суд РК);</w:t>
            </w:r>
          </w:p>
          <w:p w:rsidR="00000000" w:rsidRDefault="008477A4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Почетная грамота Председателя Верховного Суда РК (2015)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77A4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 xml:space="preserve">Научные, литературные труды, </w:t>
            </w:r>
            <w:r>
              <w:rPr>
                <w:rStyle w:val="s0"/>
                <w:b/>
                <w:bCs/>
              </w:rPr>
              <w:t>публикации:</w:t>
            </w:r>
          </w:p>
          <w:p w:rsidR="00000000" w:rsidRDefault="008477A4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более ста научных и научно-практических публикаций в казахстанских и зарубежных изданиях, в том числе Процессуальные формы в конституционном праве Казахстана. Монография – М.: Изд-во МГУ, 2008. - 269 с.; Конституционный процесс в Р</w:t>
            </w:r>
            <w:r>
              <w:rPr>
                <w:rStyle w:val="s0"/>
              </w:rPr>
              <w:t>еспублике Казахстан: теоретико-правовые вопросы. Монография - Изд-во КарГУ, 2008. - 287 с.; Конституция Республики Казахстан. Научно-практический комментарий. - Алматы: Раритет, 2010, - С.266-281, 378-387; Конституция Республики Казахстан. Научно-практичес</w:t>
            </w:r>
            <w:r>
              <w:rPr>
                <w:rStyle w:val="s0"/>
              </w:rPr>
              <w:t>кий комментарий. - Алматы: Раритет, 2015. – С. 510-520; Конституционный контроль в Казахстане: доктрина и практика утверждения конституционализма: Монография / Под ред. И.И. Рогова – Алматы: Раритет, 2015. – С 55-63; Комментарий к Конституционному закону Р</w:t>
            </w:r>
            <w:r>
              <w:rPr>
                <w:rStyle w:val="s0"/>
              </w:rPr>
              <w:t>еспублики Казахстан «О выборах в Республике Казахстан». Под общ. ред. Турганкулова К.Т., Турецкого Н.Н. – Астана, ЦИК РК, 2016. – С. 313-345; Конституция Республики Казахстан. Научно-практический комментарий. – Астана, 2018. – С. 606-620, 630-632; Утвержде</w:t>
            </w:r>
            <w:r>
              <w:rPr>
                <w:rStyle w:val="s0"/>
              </w:rPr>
              <w:t>ние верховенства права, общечеловеческих ценностей и приоритетов современного государства: деятельность Конституционного Совета Республики Казахстан» / Под общ. ред. К.А.Мами - Нур-Султан, 2020. - С 269-291.</w:t>
            </w:r>
          </w:p>
        </w:tc>
      </w:tr>
    </w:tbl>
    <w:p w:rsidR="00000000" w:rsidRDefault="008477A4">
      <w:pPr>
        <w:pStyle w:val="p"/>
      </w:pPr>
      <w:r>
        <w:t> </w:t>
      </w:r>
    </w:p>
    <w:p w:rsidR="00000000" w:rsidRDefault="008477A4">
      <w:pPr>
        <w:pStyle w:val="pj"/>
      </w:pPr>
      <w:r>
        <w:t> </w:t>
      </w:r>
    </w:p>
    <w:p w:rsidR="00000000" w:rsidRDefault="008477A4">
      <w:pPr>
        <w:pStyle w:val="p"/>
      </w:pPr>
      <w:r>
        <w:t> </w:t>
      </w:r>
    </w:p>
    <w:p w:rsidR="00000000" w:rsidRDefault="008477A4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7A4" w:rsidRDefault="008477A4" w:rsidP="008477A4">
      <w:r>
        <w:separator/>
      </w:r>
    </w:p>
  </w:endnote>
  <w:endnote w:type="continuationSeparator" w:id="0">
    <w:p w:rsidR="008477A4" w:rsidRDefault="008477A4" w:rsidP="008477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7A4" w:rsidRDefault="008477A4" w:rsidP="008477A4">
      <w:r>
        <w:separator/>
      </w:r>
    </w:p>
  </w:footnote>
  <w:footnote w:type="continuationSeparator" w:id="0">
    <w:p w:rsidR="008477A4" w:rsidRDefault="008477A4" w:rsidP="008477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 w:rsidP="008477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77A4" w:rsidRPr="008477A4" w:rsidRDefault="008477A4" w:rsidP="008477A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Жакаева Лейла Султановна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77A4" w:rsidRDefault="008477A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77A4"/>
    <w:rsid w:val="00847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477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77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47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477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47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477A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477A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77A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477A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477A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477A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477A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3081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6307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12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8476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6828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1098</Words>
  <Characters>6263</Characters>
  <Application>Microsoft Office Word</Application>
  <DocSecurity>0</DocSecurity>
  <Lines>52</Lines>
  <Paragraphs>14</Paragraphs>
  <ScaleCrop>false</ScaleCrop>
  <Company/>
  <LinksUpToDate>false</LinksUpToDate>
  <CharactersWithSpaces>7347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Жакаева Лейла Султановна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2023-09-02T11:15:00Z</dcterms:created>
  <dcterms:modified xsi:type="dcterms:W3CDTF">2023-09-02T11:15:00Z</dcterms:modified>
</cp:coreProperties>
</file>