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F1286">
      <w:pPr>
        <w:pStyle w:val="pr"/>
      </w:pPr>
      <w:bookmarkStart w:id="0" w:name="_GoBack"/>
      <w:bookmarkEnd w:id="0"/>
      <w:r>
        <w:t>25.07.2022</w:t>
      </w:r>
    </w:p>
    <w:p w:rsidR="00000000" w:rsidRDefault="005F1286">
      <w:pPr>
        <w:pStyle w:val="pc"/>
      </w:pPr>
      <w:r>
        <w:rPr>
          <w:rStyle w:val="s1"/>
        </w:rPr>
        <w:t>Изменены Правила по утилизационному платежу производителей и импортеров</w:t>
      </w:r>
    </w:p>
    <w:p w:rsidR="00000000" w:rsidRDefault="005F1286">
      <w:pPr>
        <w:pStyle w:val="pj"/>
      </w:pPr>
      <w:r>
        <w:rPr>
          <w:rStyle w:val="s0"/>
        </w:rPr>
        <w:t> </w:t>
      </w:r>
    </w:p>
    <w:p w:rsidR="00000000" w:rsidRDefault="005F1286">
      <w:pPr>
        <w:pStyle w:val="pj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18 июля 2022 года № 502 внесены изменения и дополнения в </w:t>
      </w:r>
      <w:hyperlink r:id="rId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реализации расширенных обязательств производителей (импортеров) (далее – Правила), утвержденные </w:t>
      </w:r>
      <w:hyperlink r:id="rId9" w:history="1">
        <w:r>
          <w:rPr>
            <w:rStyle w:val="a4"/>
          </w:rPr>
          <w:t>постан</w:t>
        </w:r>
        <w:r>
          <w:rPr>
            <w:rStyle w:val="a4"/>
          </w:rPr>
          <w:t>овлением</w:t>
        </w:r>
      </w:hyperlink>
      <w:r>
        <w:rPr>
          <w:rStyle w:val="s0"/>
        </w:rPr>
        <w:t xml:space="preserve"> Правительства РК от 25 октября 2021 года № 763.</w:t>
      </w:r>
    </w:p>
    <w:p w:rsidR="00000000" w:rsidRDefault="005F1286">
      <w:pPr>
        <w:pStyle w:val="pj"/>
      </w:pPr>
      <w:r>
        <w:rPr>
          <w:rStyle w:val="s0"/>
        </w:rPr>
        <w:t> </w:t>
      </w:r>
    </w:p>
    <w:p w:rsidR="00000000" w:rsidRDefault="005F1286">
      <w:pPr>
        <w:pStyle w:val="pj"/>
      </w:pPr>
      <w:r>
        <w:rPr>
          <w:rStyle w:val="s0"/>
        </w:rPr>
        <w:t xml:space="preserve">Изменения вводятся в действие с 02 августа 2022 года, при этом, </w:t>
      </w:r>
      <w:hyperlink r:id="rId10" w:anchor="sub_id=12" w:history="1">
        <w:r>
          <w:rPr>
            <w:rStyle w:val="a4"/>
          </w:rPr>
          <w:t>абзацы двенадцатый</w:t>
        </w:r>
      </w:hyperlink>
      <w:r>
        <w:rPr>
          <w:rStyle w:val="s0"/>
        </w:rPr>
        <w:t xml:space="preserve">, </w:t>
      </w:r>
      <w:hyperlink r:id="rId11" w:anchor="sub_id=2801" w:history="1">
        <w:r>
          <w:rPr>
            <w:rStyle w:val="a4"/>
          </w:rPr>
          <w:t>четырнадцатый</w:t>
        </w:r>
      </w:hyperlink>
      <w:r>
        <w:rPr>
          <w:rStyle w:val="s0"/>
        </w:rPr>
        <w:t xml:space="preserve">, </w:t>
      </w:r>
      <w:hyperlink r:id="rId12" w:anchor="sub_id=20" w:history="1">
        <w:r>
          <w:rPr>
            <w:rStyle w:val="a4"/>
          </w:rPr>
          <w:t>двадцатый</w:t>
        </w:r>
      </w:hyperlink>
      <w:r>
        <w:rPr>
          <w:rStyle w:val="s0"/>
        </w:rPr>
        <w:t xml:space="preserve"> и </w:t>
      </w:r>
      <w:hyperlink r:id="rId13" w:history="1">
        <w:r>
          <w:rPr>
            <w:rStyle w:val="a4"/>
          </w:rPr>
          <w:t>пятьдесят четвертый пункта 1</w:t>
        </w:r>
      </w:hyperlink>
      <w:r>
        <w:rPr>
          <w:rStyle w:val="s0"/>
        </w:rPr>
        <w:t xml:space="preserve"> постан</w:t>
      </w:r>
      <w:r>
        <w:rPr>
          <w:rStyle w:val="s0"/>
        </w:rPr>
        <w:t>овления действуют только до 1 января 2025 года.</w:t>
      </w:r>
    </w:p>
    <w:p w:rsidR="00000000" w:rsidRDefault="005F1286">
      <w:pPr>
        <w:pStyle w:val="pj"/>
      </w:pPr>
      <w:r>
        <w:rPr>
          <w:rStyle w:val="s0"/>
        </w:rPr>
        <w:t> </w:t>
      </w:r>
    </w:p>
    <w:p w:rsidR="00000000" w:rsidRDefault="005F1286">
      <w:pPr>
        <w:pStyle w:val="pj"/>
      </w:pPr>
      <w:r>
        <w:t xml:space="preserve">В частности, в новой редакции изложен </w:t>
      </w:r>
      <w:hyperlink r:id="rId14" w:anchor="sub_id=400" w:history="1">
        <w:r>
          <w:rPr>
            <w:rStyle w:val="a4"/>
          </w:rPr>
          <w:t>пункт 4</w:t>
        </w:r>
      </w:hyperlink>
      <w:r>
        <w:rPr>
          <w:rStyle w:val="s0"/>
        </w:rPr>
        <w:t xml:space="preserve"> Правил:</w:t>
      </w:r>
    </w:p>
    <w:p w:rsidR="00000000" w:rsidRDefault="005F1286">
      <w:pPr>
        <w:pStyle w:val="pj"/>
      </w:pPr>
      <w:r>
        <w:rPr>
          <w:rStyle w:val="s0"/>
        </w:rPr>
        <w:t>«4. Расширенные обязательства производителей (импортеров) возникают:</w:t>
      </w:r>
    </w:p>
    <w:p w:rsidR="00000000" w:rsidRDefault="005F1286">
      <w:pPr>
        <w:pStyle w:val="pj"/>
      </w:pPr>
      <w:r>
        <w:rPr>
          <w:rStyle w:val="s0"/>
        </w:rPr>
        <w:t xml:space="preserve">у </w:t>
      </w:r>
      <w:r>
        <w:rPr>
          <w:rStyle w:val="s0"/>
        </w:rPr>
        <w:t>производителей – с момента оформления поступления (оприходования) готовой продукции в соответствии с законодательством Республики Казахстан о бухгалтерском учете и финансовой отчетности, учетной политикой предприятия;</w:t>
      </w:r>
    </w:p>
    <w:p w:rsidR="00000000" w:rsidRDefault="005F1286">
      <w:pPr>
        <w:pStyle w:val="pj"/>
      </w:pPr>
      <w:r>
        <w:rPr>
          <w:rStyle w:val="s0"/>
        </w:rPr>
        <w:t>у импортеров – с момента перемещения ч</w:t>
      </w:r>
      <w:r>
        <w:rPr>
          <w:rStyle w:val="s0"/>
        </w:rPr>
        <w:t>ерез Государственную границу Республики Казахстан (</w:t>
      </w:r>
      <w:r>
        <w:rPr>
          <w:rStyle w:val="s0"/>
          <w:i/>
          <w:iCs/>
        </w:rPr>
        <w:t>исключено: продукции подлежащей реализации на территории Республики Казахстан</w:t>
      </w:r>
      <w:r>
        <w:rPr>
          <w:rStyle w:val="s0"/>
        </w:rPr>
        <w:t>) согласно подтверждающим документам, указанным в пунктах 15, 16, 17, 19 и 28 настоящих Правил.»;</w:t>
      </w:r>
    </w:p>
    <w:p w:rsidR="00000000" w:rsidRDefault="005F1286">
      <w:pPr>
        <w:pStyle w:val="pj"/>
      </w:pPr>
      <w:hyperlink r:id="rId15" w:anchor="sub_id=700" w:history="1">
        <w:r>
          <w:rPr>
            <w:rStyle w:val="a4"/>
          </w:rPr>
          <w:t>Пункт 7</w:t>
        </w:r>
      </w:hyperlink>
      <w:r>
        <w:rPr>
          <w:rStyle w:val="s0"/>
        </w:rPr>
        <w:t xml:space="preserve"> Правил дополнен:</w:t>
      </w:r>
    </w:p>
    <w:p w:rsidR="00000000" w:rsidRDefault="005F1286">
      <w:pPr>
        <w:pStyle w:val="pj"/>
      </w:pPr>
      <w:r>
        <w:rPr>
          <w:rStyle w:val="s0"/>
        </w:rPr>
        <w:t xml:space="preserve">7. Размер утилизационного платежа исчисляется на основании методики расчета утилизационного платежа, утверждаемой уполномоченным органом в области охраны окружающей среды (далее – </w:t>
      </w:r>
      <w:r>
        <w:rPr>
          <w:rStyle w:val="s0"/>
        </w:rPr>
        <w:t xml:space="preserve">методика), </w:t>
      </w:r>
      <w:r>
        <w:rPr>
          <w:rStyle w:val="s0"/>
          <w:b/>
          <w:bCs/>
        </w:rPr>
        <w:t>по ставкам и коэффициентам, действующим на момент подачи заявки в соответствии с настоящими Правилами</w:t>
      </w:r>
      <w:r>
        <w:rPr>
          <w:rStyle w:val="s0"/>
        </w:rPr>
        <w:t>. Утилизационный платеж оплачивается в национальной валюте Республики Казахстан производителями и импортерами на банковский счет оператора. Инфо</w:t>
      </w:r>
      <w:r>
        <w:rPr>
          <w:rStyle w:val="s0"/>
        </w:rPr>
        <w:t>рмация о банковском счете размещается на интернет-ресурсе оператора.</w:t>
      </w:r>
    </w:p>
    <w:p w:rsidR="00000000" w:rsidRDefault="005F1286">
      <w:pPr>
        <w:pStyle w:val="pj"/>
      </w:pPr>
      <w:r>
        <w:rPr>
          <w:rStyle w:val="s0"/>
        </w:rPr>
        <w:t> </w:t>
      </w:r>
    </w:p>
    <w:p w:rsidR="00000000" w:rsidRDefault="005F1286">
      <w:pPr>
        <w:pStyle w:val="pj"/>
      </w:pPr>
      <w:r>
        <w:rPr>
          <w:rStyle w:val="s0"/>
        </w:rPr>
        <w:t xml:space="preserve">В новой редакции изложен абзац третий </w:t>
      </w:r>
      <w:hyperlink r:id="rId16" w:anchor="sub_id=1400" w:history="1">
        <w:r>
          <w:rPr>
            <w:rStyle w:val="a4"/>
          </w:rPr>
          <w:t>подпункта 1) пункта 14</w:t>
        </w:r>
      </w:hyperlink>
      <w:r>
        <w:rPr>
          <w:rStyle w:val="s0"/>
        </w:rPr>
        <w:t xml:space="preserve"> Правил:</w:t>
      </w:r>
    </w:p>
    <w:p w:rsidR="00000000" w:rsidRDefault="005F1286">
      <w:pPr>
        <w:pStyle w:val="pj"/>
      </w:pPr>
      <w:r>
        <w:rPr>
          <w:rStyle w:val="s0"/>
        </w:rPr>
        <w:t xml:space="preserve">В отношении продукции, предусмотренной в перечне, по которой не установлены ставки и (или) коэффициенты для расчета размера утилизационного платежа, </w:t>
      </w:r>
      <w:r>
        <w:rPr>
          <w:rStyle w:val="s0"/>
          <w:b/>
          <w:bCs/>
        </w:rPr>
        <w:t>либо коэффициент определен 0,</w:t>
      </w:r>
      <w:r>
        <w:rPr>
          <w:rStyle w:val="s0"/>
        </w:rPr>
        <w:t xml:space="preserve"> заявка не подается, за исключением:</w:t>
      </w:r>
    </w:p>
    <w:p w:rsidR="00000000" w:rsidRDefault="005F1286">
      <w:pPr>
        <w:pStyle w:val="pj"/>
      </w:pPr>
      <w:r>
        <w:rPr>
          <w:rStyle w:val="s0"/>
        </w:rPr>
        <w:t>автотранспортных средств с электродвигате</w:t>
      </w:r>
      <w:r>
        <w:rPr>
          <w:rStyle w:val="s0"/>
        </w:rPr>
        <w:t>лем;</w:t>
      </w:r>
    </w:p>
    <w:p w:rsidR="00000000" w:rsidRDefault="005F1286">
      <w:pPr>
        <w:pStyle w:val="pj"/>
      </w:pPr>
      <w:r>
        <w:rPr>
          <w:rStyle w:val="s0"/>
          <w:b/>
          <w:bCs/>
        </w:rPr>
        <w:t>седельных тягачей, используемых для международных перевозок, импортируемых транспортными компаниями</w:t>
      </w:r>
      <w:r>
        <w:rPr>
          <w:rStyle w:val="s0"/>
          <w:i/>
          <w:iCs/>
        </w:rPr>
        <w:t xml:space="preserve"> (до 1 января 2025 года)</w:t>
      </w:r>
    </w:p>
    <w:p w:rsidR="00000000" w:rsidRDefault="005F1286">
      <w:pPr>
        <w:pStyle w:val="pj"/>
      </w:pPr>
      <w:r>
        <w:rPr>
          <w:rStyle w:val="s0"/>
        </w:rPr>
        <w:t> </w:t>
      </w:r>
    </w:p>
    <w:p w:rsidR="00000000" w:rsidRDefault="005F1286">
      <w:pPr>
        <w:pStyle w:val="pj"/>
      </w:pPr>
      <w:r>
        <w:rPr>
          <w:rStyle w:val="s0"/>
          <w:b/>
          <w:bCs/>
        </w:rPr>
        <w:t>Правила дополнены новыми пунктами 41-1, 41-2, 41-3</w:t>
      </w:r>
      <w:r>
        <w:rPr>
          <w:rStyle w:val="s0"/>
        </w:rPr>
        <w:t xml:space="preserve"> следующего содержания:</w:t>
      </w:r>
    </w:p>
    <w:p w:rsidR="00000000" w:rsidRDefault="005F1286">
      <w:pPr>
        <w:pStyle w:val="pj"/>
      </w:pPr>
      <w:r>
        <w:rPr>
          <w:rStyle w:val="s0"/>
        </w:rPr>
        <w:t>«41-1. Уполномоченный орган по обеспечению безопасн</w:t>
      </w:r>
      <w:r>
        <w:rPr>
          <w:rStyle w:val="s0"/>
        </w:rPr>
        <w:t>ости дорожного движения по запросу оператора в течение 30 календарных дней направляет сведения об автотранспортных средствах, прошедших первичную (государственную) регистрацию, в том числе посредством интеграции информационных систем.</w:t>
      </w:r>
    </w:p>
    <w:p w:rsidR="00000000" w:rsidRDefault="005F1286">
      <w:pPr>
        <w:pStyle w:val="pj"/>
      </w:pPr>
      <w:r>
        <w:rPr>
          <w:rStyle w:val="s0"/>
        </w:rPr>
        <w:t>41-2. Местные исполни</w:t>
      </w:r>
      <w:r>
        <w:rPr>
          <w:rStyle w:val="s0"/>
        </w:rPr>
        <w:t>тельные органы областей, городов республиканского значения, столицы, района (города областного значения) по запросу оператора в течение 30 календарных дней направляют сведения о самоходной сельскохозяйственной технике, прошедшей первичную государственную р</w:t>
      </w:r>
      <w:r>
        <w:rPr>
          <w:rStyle w:val="s0"/>
        </w:rPr>
        <w:t>егистрацию, в том числе посредством интеграции информационных систем.</w:t>
      </w:r>
    </w:p>
    <w:p w:rsidR="00000000" w:rsidRDefault="005F1286">
      <w:pPr>
        <w:pStyle w:val="pj"/>
      </w:pPr>
      <w:r>
        <w:rPr>
          <w:rStyle w:val="s0"/>
          <w:i/>
          <w:iCs/>
        </w:rPr>
        <w:t>Пункт 41-3 будет действовать до 1 января 2025 года.</w:t>
      </w:r>
    </w:p>
    <w:p w:rsidR="00000000" w:rsidRDefault="005F1286">
      <w:pPr>
        <w:pStyle w:val="pj"/>
      </w:pPr>
      <w:r>
        <w:rPr>
          <w:rStyle w:val="s0"/>
        </w:rPr>
        <w:t>41-3. Уполномоченный орган в области автомобильного транспорта на ежеквартальной основе, в срок не позднее 10 числа месяца, следующего</w:t>
      </w:r>
      <w:r>
        <w:rPr>
          <w:rStyle w:val="s0"/>
        </w:rPr>
        <w:t xml:space="preserve"> за отчетным кварталом, представляет оператору информацию о выданных удостоверениях допуска к осуществлению международных автомобильных перевозок грузов и соответствующих карточках допуска на седельные тягачи с указанием сведений о получателях и седельных </w:t>
      </w:r>
      <w:r>
        <w:rPr>
          <w:rStyle w:val="s0"/>
        </w:rPr>
        <w:t>тягачах, в том числе посредством интеграции информационных систем.»;</w:t>
      </w:r>
    </w:p>
    <w:p w:rsidR="00000000" w:rsidRDefault="005F1286">
      <w:pPr>
        <w:pStyle w:val="pj"/>
      </w:pPr>
      <w:r>
        <w:rPr>
          <w:rStyle w:val="s0"/>
        </w:rPr>
        <w:t> </w:t>
      </w:r>
    </w:p>
    <w:p w:rsidR="00000000" w:rsidRDefault="005F1286">
      <w:pPr>
        <w:pStyle w:val="pj"/>
      </w:pPr>
      <w:r>
        <w:rPr>
          <w:rStyle w:val="s0"/>
          <w:b/>
          <w:bCs/>
        </w:rPr>
        <w:t>Также в Правила дополнены пункты 42-1, 42-2, 42-3</w:t>
      </w:r>
      <w:r>
        <w:rPr>
          <w:rStyle w:val="s0"/>
        </w:rPr>
        <w:t xml:space="preserve"> следующего содержания:</w:t>
      </w:r>
    </w:p>
    <w:p w:rsidR="00000000" w:rsidRDefault="005F1286">
      <w:pPr>
        <w:pStyle w:val="pj"/>
      </w:pPr>
      <w:r>
        <w:rPr>
          <w:rStyle w:val="s0"/>
          <w:i/>
          <w:iCs/>
        </w:rPr>
        <w:t>«42-1. Сведения, направляемые уполномоченным органом по обеспечению безопасности дорожного движения оператору, с</w:t>
      </w:r>
      <w:r>
        <w:rPr>
          <w:rStyle w:val="s0"/>
          <w:i/>
          <w:iCs/>
        </w:rPr>
        <w:t>одержат следующую информацию в разрезе каждой единицы автотранспортного средства, на которую распространяются расширенные обязательства производителей (импортеров):</w:t>
      </w:r>
    </w:p>
    <w:p w:rsidR="00000000" w:rsidRDefault="005F1286">
      <w:pPr>
        <w:pStyle w:val="pj"/>
      </w:pPr>
      <w:r>
        <w:rPr>
          <w:rStyle w:val="s0"/>
        </w:rPr>
        <w:t>1) наименование/Ф.И.О, бизнес-идентификационный номер/индивидуальный идентификационный номе</w:t>
      </w:r>
      <w:r>
        <w:rPr>
          <w:rStyle w:val="s0"/>
        </w:rPr>
        <w:t>р лица, осуществившего первичную регистрацию;</w:t>
      </w:r>
    </w:p>
    <w:p w:rsidR="00000000" w:rsidRDefault="005F1286">
      <w:pPr>
        <w:pStyle w:val="pj"/>
      </w:pPr>
      <w:r>
        <w:rPr>
          <w:rStyle w:val="s0"/>
        </w:rPr>
        <w:t>2) фактический и (или) юридический адрес, контактные данные (телефон, адрес электронной почты);</w:t>
      </w:r>
    </w:p>
    <w:p w:rsidR="00000000" w:rsidRDefault="005F1286">
      <w:pPr>
        <w:pStyle w:val="pj"/>
      </w:pPr>
      <w:r>
        <w:rPr>
          <w:rStyle w:val="s0"/>
        </w:rPr>
        <w:t>3) VIN код, номер шасси и кузова;</w:t>
      </w:r>
    </w:p>
    <w:p w:rsidR="00000000" w:rsidRDefault="005F1286">
      <w:pPr>
        <w:pStyle w:val="pj"/>
      </w:pPr>
      <w:r>
        <w:rPr>
          <w:rStyle w:val="s0"/>
        </w:rPr>
        <w:t>4) дату первичной регистрации;</w:t>
      </w:r>
    </w:p>
    <w:p w:rsidR="00000000" w:rsidRDefault="005F1286">
      <w:pPr>
        <w:pStyle w:val="pj"/>
      </w:pPr>
      <w:r>
        <w:rPr>
          <w:rStyle w:val="s0"/>
        </w:rPr>
        <w:t>5) государственный регистрационный номерной знак;</w:t>
      </w:r>
    </w:p>
    <w:p w:rsidR="00000000" w:rsidRDefault="005F1286">
      <w:pPr>
        <w:pStyle w:val="pj"/>
      </w:pPr>
      <w:r>
        <w:rPr>
          <w:rStyle w:val="s0"/>
        </w:rPr>
        <w:t>6) марку, модель;</w:t>
      </w:r>
    </w:p>
    <w:p w:rsidR="00000000" w:rsidRDefault="005F1286">
      <w:pPr>
        <w:pStyle w:val="pj"/>
      </w:pPr>
      <w:r>
        <w:rPr>
          <w:rStyle w:val="s0"/>
        </w:rPr>
        <w:t>7) год выпуска;</w:t>
      </w:r>
    </w:p>
    <w:p w:rsidR="00000000" w:rsidRDefault="005F1286">
      <w:pPr>
        <w:pStyle w:val="pj"/>
      </w:pPr>
      <w:r>
        <w:rPr>
          <w:rStyle w:val="s0"/>
        </w:rPr>
        <w:t>8) категорию транспортного средства;</w:t>
      </w:r>
    </w:p>
    <w:p w:rsidR="00000000" w:rsidRDefault="005F1286">
      <w:pPr>
        <w:pStyle w:val="pj"/>
      </w:pPr>
      <w:r>
        <w:rPr>
          <w:rStyle w:val="s0"/>
        </w:rPr>
        <w:t>9) рабочий объем двигателя;</w:t>
      </w:r>
    </w:p>
    <w:p w:rsidR="00000000" w:rsidRDefault="005F1286">
      <w:pPr>
        <w:pStyle w:val="pj"/>
      </w:pPr>
      <w:r>
        <w:rPr>
          <w:rStyle w:val="s0"/>
        </w:rPr>
        <w:t>10) технически допустимая максимальная масса.</w:t>
      </w:r>
    </w:p>
    <w:p w:rsidR="00000000" w:rsidRDefault="005F1286">
      <w:pPr>
        <w:pStyle w:val="pj"/>
      </w:pPr>
      <w:r>
        <w:rPr>
          <w:rStyle w:val="s0"/>
          <w:i/>
          <w:iCs/>
        </w:rPr>
        <w:t>42-2. Сведения, направляемые местными исполнительными органами областей, городов республиканского значения, ст</w:t>
      </w:r>
      <w:r>
        <w:rPr>
          <w:rStyle w:val="s0"/>
          <w:i/>
          <w:iCs/>
        </w:rPr>
        <w:t>олицы, района (города областного значения) оператору, содержат следующую информацию в разрезе каждой единицы самоходной сельскохозяйственной техники, на которую распространяются расширенные обязательства производителей (импортеров):</w:t>
      </w:r>
    </w:p>
    <w:p w:rsidR="00000000" w:rsidRDefault="005F1286">
      <w:pPr>
        <w:pStyle w:val="pj"/>
      </w:pPr>
      <w:r>
        <w:rPr>
          <w:rStyle w:val="s0"/>
        </w:rPr>
        <w:t xml:space="preserve">1) наименование/Ф.И.О, </w:t>
      </w:r>
      <w:r>
        <w:rPr>
          <w:rStyle w:val="s0"/>
        </w:rPr>
        <w:t>бизнес-идентификационный номер/индивидуальный идентификационный номер лица, осуществившего первичную регистрацию;</w:t>
      </w:r>
    </w:p>
    <w:p w:rsidR="00000000" w:rsidRDefault="005F1286">
      <w:pPr>
        <w:pStyle w:val="pj"/>
      </w:pPr>
      <w:r>
        <w:rPr>
          <w:rStyle w:val="s0"/>
        </w:rPr>
        <w:t>2) фактический и (или) юридический адрес, контактные данные (телефон, адрес электронной почты);</w:t>
      </w:r>
    </w:p>
    <w:p w:rsidR="00000000" w:rsidRDefault="005F1286">
      <w:pPr>
        <w:pStyle w:val="pj"/>
      </w:pPr>
      <w:r>
        <w:rPr>
          <w:rStyle w:val="s0"/>
        </w:rPr>
        <w:t>3) заводской номер машины;</w:t>
      </w:r>
    </w:p>
    <w:p w:rsidR="00000000" w:rsidRDefault="005F1286">
      <w:pPr>
        <w:pStyle w:val="pj"/>
      </w:pPr>
      <w:r>
        <w:rPr>
          <w:rStyle w:val="s0"/>
        </w:rPr>
        <w:t>4) дату первичной р</w:t>
      </w:r>
      <w:r>
        <w:rPr>
          <w:rStyle w:val="s0"/>
        </w:rPr>
        <w:t>егистрации;</w:t>
      </w:r>
    </w:p>
    <w:p w:rsidR="00000000" w:rsidRDefault="005F1286">
      <w:pPr>
        <w:pStyle w:val="pj"/>
      </w:pPr>
      <w:r>
        <w:rPr>
          <w:rStyle w:val="s0"/>
        </w:rPr>
        <w:t>5) номерной знак;</w:t>
      </w:r>
    </w:p>
    <w:p w:rsidR="00000000" w:rsidRDefault="005F1286">
      <w:pPr>
        <w:pStyle w:val="pj"/>
      </w:pPr>
      <w:r>
        <w:rPr>
          <w:rStyle w:val="s0"/>
        </w:rPr>
        <w:t>6) наименование и марку машины;</w:t>
      </w:r>
    </w:p>
    <w:p w:rsidR="00000000" w:rsidRDefault="005F1286">
      <w:pPr>
        <w:pStyle w:val="pj"/>
      </w:pPr>
      <w:r>
        <w:rPr>
          <w:rStyle w:val="s0"/>
        </w:rPr>
        <w:t>7) месяц и год изготовления;</w:t>
      </w:r>
    </w:p>
    <w:p w:rsidR="00000000" w:rsidRDefault="005F1286">
      <w:pPr>
        <w:pStyle w:val="pj"/>
      </w:pPr>
      <w:r>
        <w:rPr>
          <w:rStyle w:val="s0"/>
        </w:rPr>
        <w:t>8) вид самоходной сельскохозяйственной техники;</w:t>
      </w:r>
    </w:p>
    <w:p w:rsidR="00000000" w:rsidRDefault="005F1286">
      <w:pPr>
        <w:pStyle w:val="pj"/>
      </w:pPr>
      <w:r>
        <w:rPr>
          <w:rStyle w:val="s0"/>
        </w:rPr>
        <w:t>9) номинальную мощность двигателя;</w:t>
      </w:r>
    </w:p>
    <w:p w:rsidR="00000000" w:rsidRDefault="005F1286">
      <w:pPr>
        <w:pStyle w:val="pj"/>
      </w:pPr>
      <w:r>
        <w:rPr>
          <w:rStyle w:val="s0"/>
        </w:rPr>
        <w:t>10) номер и дату технического паспорта самоходной сельскохозяйственной техники.</w:t>
      </w:r>
    </w:p>
    <w:p w:rsidR="00000000" w:rsidRDefault="005F1286">
      <w:pPr>
        <w:pStyle w:val="pj"/>
      </w:pPr>
      <w:r>
        <w:rPr>
          <w:rStyle w:val="s0"/>
          <w:i/>
          <w:iCs/>
        </w:rPr>
        <w:t>Пу</w:t>
      </w:r>
      <w:r>
        <w:rPr>
          <w:rStyle w:val="s0"/>
          <w:i/>
          <w:iCs/>
        </w:rPr>
        <w:t>нкт 42-3 будет действовать до 1 января 2025 года</w:t>
      </w:r>
    </w:p>
    <w:p w:rsidR="00000000" w:rsidRDefault="005F1286">
      <w:pPr>
        <w:pStyle w:val="pj"/>
      </w:pPr>
      <w:r>
        <w:rPr>
          <w:rStyle w:val="s0"/>
          <w:i/>
          <w:iCs/>
        </w:rPr>
        <w:t>42-3. Сведения, направляемые уполномоченным органом в области автомобильного транспорта оператору, содержат следующую информацию в разрезе каждой единицы транспортного средства, на которую распространяются р</w:t>
      </w:r>
      <w:r>
        <w:rPr>
          <w:rStyle w:val="s0"/>
          <w:i/>
          <w:iCs/>
        </w:rPr>
        <w:t>асширенные обязательства производителей (импортеров), имеющего карточку допуска на международные автомобильные перевозки грузов, выданную уполномоченным органом в области автомобильного транспорта:</w:t>
      </w:r>
    </w:p>
    <w:p w:rsidR="00000000" w:rsidRDefault="005F1286">
      <w:pPr>
        <w:pStyle w:val="pj"/>
      </w:pPr>
      <w:r>
        <w:rPr>
          <w:rStyle w:val="s0"/>
        </w:rPr>
        <w:t>1) наименование/Ф.И.О, бизнес-идентификационный номер/инди</w:t>
      </w:r>
      <w:r>
        <w:rPr>
          <w:rStyle w:val="s0"/>
        </w:rPr>
        <w:t>видуальный идентификационный номер владельца удостоверения допуска к осуществлению международных автомобильных перевозок грузов;</w:t>
      </w:r>
    </w:p>
    <w:p w:rsidR="00000000" w:rsidRDefault="005F1286">
      <w:pPr>
        <w:pStyle w:val="pj"/>
      </w:pPr>
      <w:r>
        <w:rPr>
          <w:rStyle w:val="s0"/>
        </w:rPr>
        <w:t>2) фактический и (или) юридический адрес, контактные данные (телефон, адрес электронной почты);</w:t>
      </w:r>
    </w:p>
    <w:p w:rsidR="00000000" w:rsidRDefault="005F1286">
      <w:pPr>
        <w:pStyle w:val="pj"/>
      </w:pPr>
      <w:r>
        <w:rPr>
          <w:rStyle w:val="s0"/>
        </w:rPr>
        <w:t>3) государственный регистрацион</w:t>
      </w:r>
      <w:r>
        <w:rPr>
          <w:rStyle w:val="s0"/>
        </w:rPr>
        <w:t>ный номерной знак;</w:t>
      </w:r>
    </w:p>
    <w:p w:rsidR="00000000" w:rsidRDefault="005F1286">
      <w:pPr>
        <w:pStyle w:val="pj"/>
      </w:pPr>
      <w:r>
        <w:rPr>
          <w:rStyle w:val="s0"/>
        </w:rPr>
        <w:t>4) дату выдачи карточки допуска на международные автомобильные перевозки грузов;</w:t>
      </w:r>
    </w:p>
    <w:p w:rsidR="00000000" w:rsidRDefault="005F1286">
      <w:pPr>
        <w:pStyle w:val="pj"/>
      </w:pPr>
      <w:r>
        <w:rPr>
          <w:rStyle w:val="s0"/>
        </w:rPr>
        <w:t>5) марку грузового автомобиля.»;</w:t>
      </w:r>
    </w:p>
    <w:p w:rsidR="00000000" w:rsidRDefault="005F1286">
      <w:pPr>
        <w:pStyle w:val="pj"/>
      </w:pPr>
      <w:r>
        <w:t> </w:t>
      </w:r>
    </w:p>
    <w:p w:rsidR="00000000" w:rsidRDefault="005F1286">
      <w:pPr>
        <w:pStyle w:val="p"/>
      </w:pPr>
      <w:r>
        <w:t> </w:t>
      </w:r>
    </w:p>
    <w:p w:rsidR="00000000" w:rsidRDefault="005F1286">
      <w:pPr>
        <w:pStyle w:val="p"/>
      </w:pPr>
      <w:r>
        <w:rPr>
          <w:sz w:val="20"/>
          <w:szCs w:val="20"/>
        </w:rPr>
        <w:t> </w:t>
      </w:r>
    </w:p>
    <w:p w:rsidR="00000000" w:rsidRDefault="005F1286">
      <w:pPr>
        <w:pStyle w:val="p"/>
      </w:pPr>
      <w:r>
        <w:rPr>
          <w:sz w:val="20"/>
          <w:szCs w:val="20"/>
        </w:rPr>
        <w:t>Источник: ИС «Параграф»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86" w:rsidRDefault="005F1286" w:rsidP="005F1286">
      <w:r>
        <w:separator/>
      </w:r>
    </w:p>
  </w:endnote>
  <w:endnote w:type="continuationSeparator" w:id="0">
    <w:p w:rsidR="005F1286" w:rsidRDefault="005F1286" w:rsidP="005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86" w:rsidRDefault="005F128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86" w:rsidRDefault="005F128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86" w:rsidRDefault="005F12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86" w:rsidRDefault="005F1286" w:rsidP="005F1286">
      <w:r>
        <w:separator/>
      </w:r>
    </w:p>
  </w:footnote>
  <w:footnote w:type="continuationSeparator" w:id="0">
    <w:p w:rsidR="005F1286" w:rsidRDefault="005F1286" w:rsidP="005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86" w:rsidRDefault="005F128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86" w:rsidRDefault="005F1286" w:rsidP="005F12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F1286" w:rsidRPr="005F1286" w:rsidRDefault="005F1286" w:rsidP="005F128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Изменены Правила по утилизационному платежу производителей и импортеров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86" w:rsidRDefault="005F12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F1286"/>
    <w:rsid w:val="005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F12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128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F12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1286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F12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128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F12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128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225369" TargetMode="External"/><Relationship Id="rId13" Type="http://schemas.openxmlformats.org/officeDocument/2006/relationships/hyperlink" Target="http://online.zakon.kz/Document/?doc_id=35662504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online.zakon.kz/Document/?doc_id=35662504" TargetMode="External"/><Relationship Id="rId12" Type="http://schemas.openxmlformats.org/officeDocument/2006/relationships/hyperlink" Target="http://online.zakon.kz/Document/?doc_id=35662504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225369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66250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22536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566250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225369" TargetMode="External"/><Relationship Id="rId14" Type="http://schemas.openxmlformats.org/officeDocument/2006/relationships/hyperlink" Target="http://online.zakon.kz/Document/?doc_id=3522536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6079</Characters>
  <Application>Microsoft Office Word</Application>
  <DocSecurity>0</DocSecurity>
  <Lines>50</Lines>
  <Paragraphs>13</Paragraphs>
  <ScaleCrop>false</ScaleCrop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2025-07-21T12:20:00Z</dcterms:created>
  <dcterms:modified xsi:type="dcterms:W3CDTF">2025-07-21T12:20:00Z</dcterms:modified>
</cp:coreProperties>
</file>