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trHeight w:val="1007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A7C">
            <w:pPr>
              <w:pStyle w:val="pc"/>
            </w:pPr>
            <w:bookmarkStart w:id="0" w:name="_GoBack"/>
            <w:bookmarkEnd w:id="0"/>
            <w:r>
              <w:rPr>
                <w:rStyle w:val="s1"/>
              </w:rPr>
              <w:t>Внесены изменения в некоторые приказы Министра энергетики РК по вопросам реализации товарного и сжиженного нефтяного газа</w:t>
            </w:r>
          </w:p>
        </w:tc>
      </w:tr>
      <w:tr w:rsidR="00000000">
        <w:trPr>
          <w:trHeight w:val="797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A7C">
            <w:pPr>
              <w:pStyle w:val="p"/>
            </w:pPr>
            <w:r>
              <w:rPr>
                <w:rStyle w:val="s0"/>
                <w:b/>
                <w:bCs/>
              </w:rPr>
              <w:t xml:space="preserve">Аннотация к документу: </w:t>
            </w:r>
            <w:hyperlink r:id="rId7" w:history="1">
              <w:r>
                <w:rPr>
                  <w:rStyle w:val="a4"/>
                  <w:b/>
                  <w:bCs/>
                </w:rPr>
                <w:t>Приказ Министра энергетики Республики Казахстан от 14 июня 2023 года № 229 «О внесении изменений и дополнений в некоторые приказы Министра энергетики Республики Казахстан» (не введен в действие)</w:t>
              </w:r>
            </w:hyperlink>
          </w:p>
        </w:tc>
      </w:tr>
      <w:tr w:rsidR="00000000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A7C">
            <w:pPr>
              <w:pStyle w:val="p"/>
            </w:pPr>
            <w:r>
              <w:rPr>
                <w:rStyle w:val="s0"/>
              </w:rPr>
              <w:t>В частности, изменения затронули следующие приказы: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Приказ</w:t>
            </w:r>
            <w:r>
              <w:rPr>
                <w:rStyle w:val="s0"/>
              </w:rPr>
              <w:t xml:space="preserve"> </w:t>
            </w:r>
            <w:hyperlink r:id="rId8" w:history="1">
              <w:r>
                <w:rPr>
                  <w:rStyle w:val="a4"/>
                </w:rPr>
                <w:t>Министра</w:t>
              </w:r>
            </w:hyperlink>
            <w:r>
              <w:rPr>
                <w:rStyle w:val="s0"/>
              </w:rPr>
              <w:t xml:space="preserve"> энергетики Республики Казахстан от 3 ноября 2014 года № 96 «Об утверждении Правил розничной реализации и пользования товарным и сжиженным нефтяным газом»:</w:t>
            </w:r>
          </w:p>
          <w:p w:rsidR="00000000" w:rsidRDefault="00123A7C">
            <w:pPr>
              <w:pStyle w:val="p"/>
            </w:pPr>
            <w:hyperlink r:id="rId9" w:anchor="sub_id=500" w:history="1">
              <w:r>
                <w:rPr>
                  <w:rStyle w:val="a4"/>
                </w:rPr>
                <w:t>пункт 5</w:t>
              </w:r>
            </w:hyperlink>
            <w:r>
              <w:rPr>
                <w:rStyle w:val="s0"/>
              </w:rPr>
              <w:t xml:space="preserve"> изложен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«5. Условиями заключения договора розничной реализации товарного газа являются наличие следующих документов для надлежащих поставок газа: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1) со стороны бытового потреб</w:t>
            </w:r>
            <w:r>
              <w:rPr>
                <w:rStyle w:val="s0"/>
              </w:rPr>
              <w:t xml:space="preserve">ителя – наличие проекта газоснабжения, паспорта на газопотребляющее оборудование, акта приемки газопотребляющей системы в эксплуатацию, строительного паспорта газопровода, акта обследования вентиляционных каналов и дымоходов, а также заключенного договора </w:t>
            </w:r>
            <w:r>
              <w:rPr>
                <w:rStyle w:val="s0"/>
              </w:rPr>
              <w:t>технического обслуживания газопотребляющих систем;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 xml:space="preserve">2) со стороны других потребителей – наличие проекта газоснабжения, паспорта на газопотребляющее оборудование, акта приемки газопотребляющей системы в эксплуатацию, строительного паспорта газопровода, акта </w:t>
            </w:r>
            <w:r>
              <w:rPr>
                <w:rStyle w:val="s0"/>
              </w:rPr>
              <w:t>обследования вентиляционных каналов и дымоходов, приказа о назначении лица, ответственного за безопасную эксплуатацию объектов систем газоснабжения, а также заключенного договора технического обслуживания газопотребляющих систем.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Потребители, указанные в п</w:t>
            </w:r>
            <w:r>
              <w:rPr>
                <w:rStyle w:val="s0"/>
              </w:rPr>
              <w:t>одпункте 2) настоящего пункта, предоставляют документы, подтверждающие готовность к подаче газа, при отнесении их объектов газопотребления к технически и (или) технологически сложным объектам, определенных Правилами определения общего порядка отнесения зда</w:t>
            </w:r>
            <w:r>
              <w:rPr>
                <w:rStyle w:val="s0"/>
              </w:rPr>
              <w:t>ний и сооружений к технически и (или) технологически сложным объектам, утвержденными приказом Министра национальной экономики Республики Казахстан от 28 февраля 2015 года № 165 (зарегистрирован в Реестре государственной регистрации нормативных правовых акт</w:t>
            </w:r>
            <w:r>
              <w:rPr>
                <w:rStyle w:val="s0"/>
              </w:rPr>
              <w:t>ов за №10666).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3) со стороны поставщика – наличие подтверждающего документа о соответствующем объеме газа (договор закупки газа).»;</w:t>
            </w:r>
          </w:p>
          <w:p w:rsidR="00000000" w:rsidRDefault="00123A7C">
            <w:pPr>
              <w:pStyle w:val="p"/>
            </w:pPr>
            <w:hyperlink r:id="rId10" w:anchor="sub_id=1100" w:history="1">
              <w:r>
                <w:rPr>
                  <w:rStyle w:val="a4"/>
                </w:rPr>
                <w:t>пункт 11</w:t>
              </w:r>
            </w:hyperlink>
            <w:r>
              <w:rPr>
                <w:rStyle w:val="s0"/>
              </w:rPr>
              <w:t xml:space="preserve"> изложен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«11. По бытовым и коммунально-бытовым потребителям допускается неравномерность потребления газа по месяцам.»;</w:t>
            </w:r>
          </w:p>
          <w:p w:rsidR="00000000" w:rsidRDefault="00123A7C">
            <w:pPr>
              <w:pStyle w:val="p"/>
            </w:pPr>
            <w:hyperlink r:id="rId11" w:anchor="sub_id=3600" w:history="1">
              <w:r>
                <w:rPr>
                  <w:rStyle w:val="a4"/>
                </w:rPr>
                <w:t>пункт 36</w:t>
              </w:r>
            </w:hyperlink>
            <w:r>
              <w:rPr>
                <w:rStyle w:val="s0"/>
              </w:rPr>
              <w:t xml:space="preserve"> изложен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«36. При пользовании товарным</w:t>
            </w:r>
            <w:r>
              <w:rPr>
                <w:rStyle w:val="s0"/>
              </w:rPr>
              <w:t xml:space="preserve"> и сжиженным нефтяным газом не допускаются: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1) срыв пломбы, воздействие на пломбу или прибор учета, допускающего возможность несанкционированного отбора (хищения) газа;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2) без получения технических условий: самостоятельное подключение к системе газоснабжен</w:t>
            </w:r>
            <w:r>
              <w:rPr>
                <w:rStyle w:val="s0"/>
              </w:rPr>
              <w:t>ия, монтаж дополнительного газового оборудования или оборудования с увеличением мощности, без согласия газораспределительной организации или владельца групповой резервуарной установки: монтаж, демонтаж приборов учета, замена пригодного к использованию приб</w:t>
            </w:r>
            <w:r>
              <w:rPr>
                <w:rStyle w:val="s0"/>
              </w:rPr>
              <w:t>ора учета;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3) перепланировка помещений, где установлено газовое оборудование, без уведомления газораспределительной организации или владельца групповой резервуарной установки, или владельца газонаполнительной станции;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4) внесение изменения в конструкцию га</w:t>
            </w:r>
            <w:r>
              <w:rPr>
                <w:rStyle w:val="s0"/>
              </w:rPr>
              <w:t>зовых приборов;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5) изменение устройства дымовых и вентиляционных систем;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6) заклеивание вентиляционных каналов, замуровывание «карманов» и люков, предназначенных для чистки дымоходов;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7) отключение автоматики безопасности и регулирования;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 xml:space="preserve">8) использование </w:t>
            </w:r>
            <w:r>
              <w:rPr>
                <w:rStyle w:val="s0"/>
              </w:rPr>
              <w:t>газа при неисправности газовых приборов, автоматики, арматуры и газовых баллонов;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9) использование газа при нарушении плотности кладки, штукатурки (трещины) газифицированных печей и дымоходов;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10) использование газа по истечении срока действия акта о прове</w:t>
            </w:r>
            <w:r>
              <w:rPr>
                <w:rStyle w:val="s0"/>
              </w:rPr>
              <w:t>рке и чистке дымовых и вентиляционных каналов;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11) проведение чистки, проверки дымовых и вентиляционных каналов без прохождения обучения, а также замена баллонов газобаллонной установки без прохождения обучения и получения разрешения от владельца групповой</w:t>
            </w:r>
            <w:r>
              <w:rPr>
                <w:rStyle w:val="s0"/>
              </w:rPr>
              <w:t xml:space="preserve"> резервуарной установки, или владельца газонаполнительной станции;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12) использование газовых приборов при закрытых форточках (фрамугах), жалюзийных решетках, решетках вентиляционных каналов, при отсутствии тяги в дымоходах и вентиляционных каналах;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13) оставление работающих газовых приборов без присмотра, кроме рассчитанных на непрерывную работу и имеющих для этого соответствующую автоматику;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14) использование газовых приборов детьми дошкольного возраста, а также лицами, не контролирующими свои дейст</w:t>
            </w:r>
            <w:r>
              <w:rPr>
                <w:rStyle w:val="s0"/>
              </w:rPr>
              <w:t>вия и не знающими правил пользования этими приборами;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15) привязывание к газопроводам веревок и нагружение газопроводов;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16) использование газа и газовых приборов не по назначению, в том числе использование газовых плит для отопления помещения;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17) использ</w:t>
            </w:r>
            <w:r>
              <w:rPr>
                <w:rStyle w:val="s0"/>
              </w:rPr>
              <w:t>ование помещений, где установлены газовые приборы, для сна и отдыха;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18) применение открытого огня для обнаружения утечек газа;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19) хранение в помещениях и подвалах порожних и заполненных сжиженным нефтяным газом баллонов;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20) размещение в газифицированном</w:t>
            </w:r>
            <w:r>
              <w:rPr>
                <w:rStyle w:val="s0"/>
              </w:rPr>
              <w:t xml:space="preserve"> помещении более одного баллона вместимостью 50 (55) литров или двух баллонов вместимостью 27 литров каждый. Баллоны находятся в том же помещении, где и газовые приборы;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21) установка баллонов с газом в газифицированном помещении на расстоянии менее 1 метр</w:t>
            </w:r>
            <w:r>
              <w:rPr>
                <w:rStyle w:val="s0"/>
              </w:rPr>
              <w:t>а от радиатора отопления и печи. При устройстве экрана, предохраняющего баллоны от нагревания, расстояние между баллонами и отопительными приборами не менее 0,5 метра, а расстояние между баллонами и экраном не менее 10 сантиметров;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 xml:space="preserve">22) размещение баллонов </w:t>
            </w:r>
            <w:r>
              <w:rPr>
                <w:rStyle w:val="s0"/>
              </w:rPr>
              <w:t>напротив топочных дверок печей на расстоянии менее 2 метров;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 xml:space="preserve">23) включение и выключение электроосвещения, пользование открытым огнем, электронагревательными приборами и отопительными печами во время замены баллонов, установленных в помещениях, а также при </w:t>
            </w:r>
            <w:r>
              <w:rPr>
                <w:rStyle w:val="s0"/>
              </w:rPr>
              <w:t>появлении в помещении запаха газа;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24) применение средств измерений, не прошедших испытания для целей утверждения типа или метрологическую аттестацию, а также поверку и (или) не включенных в реестр государственной системы обеспечения единства измерений Рес</w:t>
            </w:r>
            <w:r>
              <w:rPr>
                <w:rStyle w:val="s0"/>
              </w:rPr>
              <w:t>публики Казахстан.»;</w:t>
            </w:r>
          </w:p>
          <w:p w:rsidR="00000000" w:rsidRDefault="00123A7C">
            <w:pPr>
              <w:pStyle w:val="p"/>
            </w:pPr>
            <w:hyperlink r:id="rId12" w:anchor="sub_id=3800" w:history="1">
              <w:r>
                <w:rPr>
                  <w:rStyle w:val="a4"/>
                </w:rPr>
                <w:t>пункт 38</w:t>
              </w:r>
            </w:hyperlink>
            <w:r>
              <w:rPr>
                <w:rStyle w:val="s0"/>
              </w:rPr>
              <w:t xml:space="preserve"> изложен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«38. В целях учета за единицу измерения объема товарного газа принимается один кубический метр газа при температуре 20</w:t>
            </w:r>
            <w:r>
              <w:rPr>
                <w:rStyle w:val="s0"/>
              </w:rPr>
              <w:t xml:space="preserve"> градусов по Цельсию и давлении 760 миллиметров ртутного столба.»;</w:t>
            </w:r>
          </w:p>
          <w:p w:rsidR="00000000" w:rsidRDefault="00123A7C">
            <w:pPr>
              <w:pStyle w:val="p"/>
            </w:pPr>
            <w:hyperlink r:id="rId13" w:anchor="sub_id=4600" w:history="1">
              <w:r>
                <w:rPr>
                  <w:rStyle w:val="a4"/>
                </w:rPr>
                <w:t>пункты 46 и 47</w:t>
              </w:r>
            </w:hyperlink>
            <w:r>
              <w:rPr>
                <w:rStyle w:val="s0"/>
              </w:rPr>
              <w:t xml:space="preserve"> изложены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«46. При невозможности снятия показаний приборов учета в течение двух расчетных периодов подряд по вине бытового потребителя без уважительных причин, поставщик производит расчет бытовому потребителю по действующим нормам потребления с последующим перерасче</w:t>
            </w:r>
            <w:r>
              <w:rPr>
                <w:rStyle w:val="s0"/>
              </w:rPr>
              <w:t>том по фактическим данным прибора учета бытового потребителя.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47. При нарушении подпунктов 1) и 2) пункта 36 настоящих Правил, поставщик производит перерасчет расхода газа: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1) бытовому потребителю по пропускной способности газопровода до крана на опуске пе</w:t>
            </w:r>
            <w:r>
              <w:rPr>
                <w:rStyle w:val="s0"/>
              </w:rPr>
              <w:t>ред газопотребляющим оборудованием за период со дня проведения последней проверки до дня обнаружения, но не более двух месяцев;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2) коммунально-бытовому потребителю – по пропускной способности газопровода до крана на отпуске перед газопотребляющим оборудова</w:t>
            </w:r>
            <w:r>
              <w:rPr>
                <w:rStyle w:val="s0"/>
              </w:rPr>
              <w:t>нием, промышленному потребителю, промышленному потребителю-инвестору, потребителю, включенному в перечень электростанций, крупному коммерческому потребителю, лицу, осуществляющему цифровой майнинг, либо лицу по производству электрической энергии для осущес</w:t>
            </w:r>
            <w:r>
              <w:rPr>
                <w:rStyle w:val="s0"/>
              </w:rPr>
              <w:t>твления цифрового майнинга – по пропускной способности газопровода на границе эксплуатационной ответственности, за период со дня проведения последней проверки до дня обнаружения, но не более двух месяцев.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Расчет объема газа по пропускной способности газопр</w:t>
            </w:r>
            <w:r>
              <w:rPr>
                <w:rStyle w:val="s0"/>
              </w:rPr>
              <w:t xml:space="preserve">овода производится в соответствии с Методикой расчета норм расхода товарного газа на собственные технологические нужды и потери в газораспределительных системах, утвержденной приказом Министра энергетики Республики Казахстан от 30 сентября 2020 года № 340 </w:t>
            </w:r>
            <w:r>
              <w:rPr>
                <w:rStyle w:val="s0"/>
              </w:rPr>
              <w:t>(зарегистрирован в Реестре государственной регистрации нормативных правовых актов за № 21347).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При обнаружении у потребителя факта несоответствия прибора учета параметрам газового оборудования, потребителю производится перерасчет расхода газа в соответстви</w:t>
            </w:r>
            <w:r>
              <w:rPr>
                <w:rStyle w:val="s0"/>
              </w:rPr>
              <w:t>и с пунктами 42 и 43 настоящих Правил со дня последней проверки.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Поставщик производит перерасчет расхода газа с учетом начисленного объема газа за период производимого перерасчета.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Фактом проверки бытового потребителя является снятие показаний прибора учет</w:t>
            </w:r>
            <w:r>
              <w:rPr>
                <w:rStyle w:val="s0"/>
              </w:rPr>
              <w:t>а в присутствии потребителя, а для коммунально-бытовых, промышленных потребителей, промышленных потребителей-инвесторов, потребителей, включенных в перечень электростанций, крупных коммерческих потребителей, лиц, осуществляющих цифровой майнинг, лиц по про</w:t>
            </w:r>
            <w:r>
              <w:rPr>
                <w:rStyle w:val="s0"/>
              </w:rPr>
              <w:t>изводству электрической энергии для осуществления цифрового майнинга – отметка поставщика о произведенной проверке в журнале потребителя, а при его отсутствии – по данным поставщика.»;</w:t>
            </w:r>
          </w:p>
          <w:p w:rsidR="00000000" w:rsidRDefault="00123A7C">
            <w:pPr>
              <w:pStyle w:val="p"/>
            </w:pPr>
            <w:hyperlink r:id="rId14" w:anchor="sub_id=5300" w:history="1">
              <w:r>
                <w:rPr>
                  <w:rStyle w:val="a4"/>
                </w:rPr>
                <w:t>пункт 53</w:t>
              </w:r>
            </w:hyperlink>
            <w:r>
              <w:rPr>
                <w:rStyle w:val="s0"/>
              </w:rPr>
              <w:t xml:space="preserve"> изложен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«53. При просрочке срока поверки приборов учета газа расчет за объем потребленного газа производится в следующем порядке: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1) для бытовых потребителей – по нормам потребления.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2) для коммунально-бытовых потребит</w:t>
            </w:r>
            <w:r>
              <w:rPr>
                <w:rStyle w:val="s0"/>
              </w:rPr>
              <w:t>елей, промышленных, промышленных потребителей-инвесторов, потребителей, включенных в перечень электростанций, крупных коммерческих потребителей, лиц, осуществляющих цифровой майнинг, либо лиц по производству электрической энергии для осуществления цифровог</w:t>
            </w:r>
            <w:r>
              <w:rPr>
                <w:rStyle w:val="s0"/>
              </w:rPr>
              <w:t>о майнинга – по мощности газового оборудования.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При просрочке срока поверки прибора учета промышленных, коммунально-бытовых потребителей, промышленных потребителей-инвесторов, потребителей, включенных в перечень электростанций, крупных коммерческих потреби</w:t>
            </w:r>
            <w:r>
              <w:rPr>
                <w:rStyle w:val="s0"/>
              </w:rPr>
              <w:t xml:space="preserve">телей, лиц, осуществляющих цифровой майнинг, либо лиц по производству электрической энергии для осуществления цифрового майнинга расчет за потребленный объем газа производится по мощности газового оборудования с даты истечения срока поверки. Перерасчет по </w:t>
            </w:r>
            <w:r>
              <w:rPr>
                <w:rStyle w:val="s0"/>
              </w:rPr>
              <w:t>показаниям прибора учета производится при условии положительных результатов поверки, но на срок не более шести месяцев.»;</w:t>
            </w:r>
          </w:p>
          <w:p w:rsidR="00000000" w:rsidRDefault="00123A7C">
            <w:pPr>
              <w:pStyle w:val="p"/>
            </w:pPr>
            <w:hyperlink r:id="rId15" w:anchor="sub_id=5700" w:history="1">
              <w:r>
                <w:rPr>
                  <w:rStyle w:val="a4"/>
                </w:rPr>
                <w:t>пункт 57</w:t>
              </w:r>
            </w:hyperlink>
            <w:r>
              <w:rPr>
                <w:rStyle w:val="s0"/>
              </w:rPr>
              <w:t xml:space="preserve"> изложен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«57. При проведен</w:t>
            </w:r>
            <w:r>
              <w:rPr>
                <w:rStyle w:val="s0"/>
              </w:rPr>
              <w:t>ии любого вида работ, связанных с изменением или нарушением схемы учета газа, потребитель перед началом работ получает технические условия газораспределительной организации или владельца групповой резервуарной установки.»;</w:t>
            </w:r>
          </w:p>
          <w:p w:rsidR="00000000" w:rsidRDefault="00123A7C">
            <w:pPr>
              <w:pStyle w:val="p"/>
            </w:pPr>
            <w:hyperlink r:id="rId16" w:anchor="sub_id=6000" w:history="1">
              <w:r>
                <w:rPr>
                  <w:rStyle w:val="a4"/>
                </w:rPr>
                <w:t>пункты 60, 61 и 62</w:t>
              </w:r>
            </w:hyperlink>
            <w:r>
              <w:rPr>
                <w:rStyle w:val="s0"/>
              </w:rPr>
              <w:t xml:space="preserve"> изложены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«60. Газотранспортная, газораспределительная организация, владелец групповой резервуарной установки или владелец газонаполнительной станции в одностороннем поряд</w:t>
            </w:r>
            <w:r>
              <w:rPr>
                <w:rStyle w:val="s0"/>
              </w:rPr>
              <w:t>ке приостанавливает подачу потребителю товарного или сжиженного нефтяного газа до устранения нарушений в случаях: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1) нарушения потребителем требований безопасности объектов систем газоснабжения;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2) самовольного и/или нелегального подключения к системе газо</w:t>
            </w:r>
            <w:r>
              <w:rPr>
                <w:rStyle w:val="s0"/>
              </w:rPr>
              <w:t>снабжения, повлекшего незаконное потребление газа;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3) технической неисправности объектов систем газоснабжения;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4) нарушений условий договора по ведению раздельного учета товарного газа, предусмотренного пунктом 3 настоящих Правил.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61. О приостановлении подачи товарного или сжиженного нефтяного газа для проведения плановых ремонтных работ и подключения новых потребителей газотранспортная, газораспределительная организация, владелец групповой резервуарной установки или владелец газона</w:t>
            </w:r>
            <w:r>
              <w:rPr>
                <w:rStyle w:val="s0"/>
              </w:rPr>
              <w:t>полнительной станции предупреждает потребителя не позднее, чем за сорок восемь часов до отключения.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62. Поставщик не ранее, чем через пять календарных дней с момента предварительного уведомления потребителя приостанавливает подачу газа в следующих случаях: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1) недопущения представителей газораспределительной организации, владельца групповой резервуарной установки или владельца газонаполнительной станции к газопроводам, газовому оборудованию и приборам учета;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2) переоборудования газовых сетей без получения те</w:t>
            </w:r>
            <w:r>
              <w:rPr>
                <w:rStyle w:val="s0"/>
              </w:rPr>
              <w:t>хнических условий поставщика;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3) наличия дебиторской задолженности за поставленный товарный или сжиженный нефтяной газ в соответствии с договором розничной реализации товарного или сжиженного нефтяного газа.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При этом, в случае, указанном в подпункте 3) нас</w:t>
            </w:r>
            <w:r>
              <w:rPr>
                <w:rStyle w:val="s0"/>
              </w:rPr>
              <w:t>тоящего пункта, для бытовых потребителей приостановление подачи газа осуществляется не ранее, чем через десять календарных дней с момента предварительного уведомления бытового потребителя.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Уведомление о прекращении (ограничение) подачи газа направляется по</w:t>
            </w:r>
            <w:r>
              <w:rPr>
                <w:rStyle w:val="s0"/>
              </w:rPr>
              <w:t>требителю электронной почтой, почтовым отправлением, коротким текстовым сообщением, мультимедийным сообщением, действующими мессенджерами либо с использованием иных средств связи, обеспечивающих фиксацию извещения или вызова.».</w:t>
            </w:r>
          </w:p>
          <w:p w:rsidR="00000000" w:rsidRDefault="00123A7C">
            <w:pPr>
              <w:pStyle w:val="p"/>
            </w:pPr>
            <w:hyperlink r:id="rId17" w:history="1">
              <w:r>
                <w:rPr>
                  <w:rStyle w:val="a4"/>
                </w:rPr>
                <w:t>Приказ</w:t>
              </w:r>
            </w:hyperlink>
            <w:r>
              <w:rPr>
                <w:rStyle w:val="s0"/>
              </w:rPr>
              <w:t xml:space="preserve"> Министра энергетики Республики Казахстан от 12 ноября 2014 года № 117 «Об утверждении типовых договоров розничной реализации товарного и сжиженного нефтяного газа, а также технического</w:t>
            </w:r>
            <w:r>
              <w:rPr>
                <w:rStyle w:val="s0"/>
              </w:rPr>
              <w:t xml:space="preserve"> обслуживания газопотребляющих систем и газового оборудования коммунально-бытовых и бытовых потребителей»:</w:t>
            </w:r>
          </w:p>
          <w:p w:rsidR="00000000" w:rsidRDefault="00123A7C">
            <w:pPr>
              <w:pStyle w:val="p"/>
            </w:pPr>
            <w:hyperlink r:id="rId18" w:anchor="sub_id=1" w:history="1">
              <w:r>
                <w:rPr>
                  <w:rStyle w:val="a4"/>
                </w:rPr>
                <w:t>приложения 1, 2 и 3</w:t>
              </w:r>
            </w:hyperlink>
            <w:r>
              <w:rPr>
                <w:rStyle w:val="s0"/>
              </w:rPr>
              <w:t xml:space="preserve"> к указанному приказу изложены в новой редакции сог</w:t>
            </w:r>
            <w:r>
              <w:rPr>
                <w:rStyle w:val="s0"/>
              </w:rPr>
              <w:t xml:space="preserve">ласно </w:t>
            </w:r>
            <w:hyperlink r:id="rId19" w:anchor="sub_id=1" w:history="1">
              <w:r>
                <w:rPr>
                  <w:rStyle w:val="a4"/>
                </w:rPr>
                <w:t>приложениям 1, 2 и 3</w:t>
              </w:r>
            </w:hyperlink>
            <w:r>
              <w:rPr>
                <w:rStyle w:val="s0"/>
              </w:rPr>
              <w:t>.</w:t>
            </w:r>
          </w:p>
          <w:p w:rsidR="00000000" w:rsidRDefault="00123A7C">
            <w:pPr>
              <w:pStyle w:val="p"/>
            </w:pPr>
            <w:hyperlink r:id="rId20" w:history="1">
              <w:r>
                <w:rPr>
                  <w:rStyle w:val="a4"/>
                </w:rPr>
                <w:t>Приказ</w:t>
              </w:r>
            </w:hyperlink>
            <w:r>
              <w:rPr>
                <w:rStyle w:val="s0"/>
              </w:rPr>
              <w:t xml:space="preserve"> Министра энергетики Республики Казахстан от 22 января 2015 года № 33 «Об утве</w:t>
            </w:r>
            <w:r>
              <w:rPr>
                <w:rStyle w:val="s0"/>
              </w:rPr>
              <w:t>рждении Правил эксплуатации магистральных газопроводов»:</w:t>
            </w:r>
          </w:p>
          <w:p w:rsidR="00000000" w:rsidRDefault="00123A7C">
            <w:pPr>
              <w:pStyle w:val="p"/>
            </w:pPr>
            <w:hyperlink r:id="rId21" w:anchor="sub_id=14000" w:history="1">
              <w:r>
                <w:rPr>
                  <w:rStyle w:val="a4"/>
                </w:rPr>
                <w:t>пункт 140</w:t>
              </w:r>
            </w:hyperlink>
            <w:r>
              <w:rPr>
                <w:rStyle w:val="s0"/>
              </w:rPr>
              <w:t xml:space="preserve"> изложить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«140. При выявлении в процессе эксплуатации нарушений изоляционных покрытий и н</w:t>
            </w:r>
            <w:r>
              <w:rPr>
                <w:rStyle w:val="s0"/>
              </w:rPr>
              <w:t>едопустимых коррозионных повреждений подземных газопроводов линейной части, технологической обвязки компрессорных станций с участками газопроводов до охранных кранов, газораспределительных станций, газоизмерительных станций, подземных хранилищ газа выполня</w:t>
            </w:r>
            <w:r>
              <w:rPr>
                <w:rStyle w:val="s0"/>
              </w:rPr>
              <w:t>ются ремонтные работы и при необходимости, проводится испытание.»;</w:t>
            </w:r>
          </w:p>
          <w:p w:rsidR="00000000" w:rsidRDefault="00123A7C">
            <w:pPr>
              <w:pStyle w:val="p"/>
            </w:pPr>
            <w:hyperlink r:id="rId22" w:anchor="sub_id=14200" w:history="1">
              <w:r>
                <w:rPr>
                  <w:rStyle w:val="a4"/>
                </w:rPr>
                <w:t>пункт 142</w:t>
              </w:r>
            </w:hyperlink>
            <w:r>
              <w:rPr>
                <w:rStyle w:val="s0"/>
              </w:rPr>
              <w:t xml:space="preserve"> изложен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«142. С целью выявления возможных коррозионных повреждений и обеспечен</w:t>
            </w:r>
            <w:r>
              <w:rPr>
                <w:rStyle w:val="s0"/>
              </w:rPr>
              <w:t>ия надежной эксплуатации линейной части магистрального газопровода проводится внутритрубная диагностика линейной части магистрального газопровода не реже 1 раза в 8 лет»;</w:t>
            </w:r>
          </w:p>
          <w:p w:rsidR="00000000" w:rsidRDefault="00123A7C">
            <w:pPr>
              <w:pStyle w:val="p"/>
            </w:pPr>
            <w:hyperlink r:id="rId23" w:anchor="sub_id=14300" w:history="1">
              <w:r>
                <w:rPr>
                  <w:rStyle w:val="a4"/>
                </w:rPr>
                <w:t>пу</w:t>
              </w:r>
              <w:r>
                <w:rPr>
                  <w:rStyle w:val="a4"/>
                </w:rPr>
                <w:t>нкты 143</w:t>
              </w:r>
            </w:hyperlink>
            <w:r>
              <w:rPr>
                <w:rStyle w:val="s0"/>
              </w:rPr>
              <w:t xml:space="preserve">, </w:t>
            </w:r>
            <w:hyperlink r:id="rId24" w:anchor="sub_id=20800" w:history="1">
              <w:r>
                <w:rPr>
                  <w:rStyle w:val="a4"/>
                </w:rPr>
                <w:t>208, 209</w:t>
              </w:r>
            </w:hyperlink>
            <w:r>
              <w:rPr>
                <w:rStyle w:val="s0"/>
              </w:rPr>
              <w:t xml:space="preserve"> исключены;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 xml:space="preserve">заголовок </w:t>
            </w:r>
            <w:hyperlink r:id="rId25" w:anchor="sub_id=18500" w:history="1">
              <w:r>
                <w:rPr>
                  <w:rStyle w:val="a4"/>
                </w:rPr>
                <w:t>параграфа 3</w:t>
              </w:r>
            </w:hyperlink>
            <w:r>
              <w:rPr>
                <w:rStyle w:val="s0"/>
              </w:rPr>
              <w:t xml:space="preserve"> главы 3 изложен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«Пар</w:t>
            </w:r>
            <w:r>
              <w:rPr>
                <w:rStyle w:val="s0"/>
              </w:rPr>
              <w:t>аграф 3. Основные требования при организации газоопасных работ.»;</w:t>
            </w:r>
          </w:p>
          <w:p w:rsidR="00000000" w:rsidRDefault="00123A7C">
            <w:pPr>
              <w:pStyle w:val="p"/>
            </w:pPr>
            <w:hyperlink r:id="rId26" w:anchor="sub_id=34000" w:history="1">
              <w:r>
                <w:rPr>
                  <w:rStyle w:val="a4"/>
                </w:rPr>
                <w:t>пункт 340</w:t>
              </w:r>
            </w:hyperlink>
            <w:r>
              <w:rPr>
                <w:rStyle w:val="s0"/>
              </w:rPr>
              <w:t xml:space="preserve"> изложен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«340. Проведение работ внутритрубного диагностирования регламентируется</w:t>
            </w:r>
            <w:r>
              <w:rPr>
                <w:rStyle w:val="s0"/>
              </w:rPr>
              <w:t xml:space="preserve"> и осуществляется согласно производственному плану газотранспортной организации.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При выявлении недопустимых дефектов трубопроводов (глубокие вмятины, гофры, трещины, сильная коррозия), работы по устранению дефектов выполняются незамедлительно. Предприятия,</w:t>
            </w:r>
            <w:r>
              <w:rPr>
                <w:rStyle w:val="s0"/>
              </w:rPr>
              <w:t xml:space="preserve"> осуществляющие эксплуатацию линейной части магистрального газопровода, отвечают за достоверность и сохранность информации, полученной в процессе проведения технической диагностики»;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 xml:space="preserve">заголовок </w:t>
            </w:r>
            <w:hyperlink r:id="rId27" w:anchor="sub_id=41000" w:history="1">
              <w:r>
                <w:rPr>
                  <w:rStyle w:val="a4"/>
                </w:rPr>
                <w:t>параграфа 2</w:t>
              </w:r>
            </w:hyperlink>
            <w:r>
              <w:rPr>
                <w:rStyle w:val="s0"/>
              </w:rPr>
              <w:t xml:space="preserve"> главы 10 изложен в новой редакции: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«Параграф 2. Основные требования при организации огневых работ».</w:t>
            </w:r>
          </w:p>
          <w:p w:rsidR="00000000" w:rsidRDefault="00123A7C">
            <w:pPr>
              <w:pStyle w:val="p"/>
            </w:pPr>
            <w:r>
              <w:rPr>
                <w:rStyle w:val="s0"/>
              </w:rPr>
              <w:t>Приказ вводится в действие по истечении десяти календарных дн</w:t>
            </w:r>
            <w:r>
              <w:rPr>
                <w:rStyle w:val="s0"/>
              </w:rPr>
              <w:t xml:space="preserve">ей после дня его первого официального </w:t>
            </w:r>
            <w:hyperlink r:id="rId28" w:history="1">
              <w:r>
                <w:rPr>
                  <w:rStyle w:val="a4"/>
                </w:rPr>
                <w:t>опубликования</w:t>
              </w:r>
            </w:hyperlink>
            <w:r>
              <w:rPr>
                <w:rStyle w:val="s0"/>
              </w:rPr>
              <w:t>.</w:t>
            </w:r>
          </w:p>
        </w:tc>
      </w:tr>
    </w:tbl>
    <w:p w:rsidR="00000000" w:rsidRDefault="00123A7C">
      <w:pPr>
        <w:pStyle w:val="p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A7C" w:rsidRDefault="00123A7C" w:rsidP="00123A7C">
      <w:r>
        <w:separator/>
      </w:r>
    </w:p>
  </w:endnote>
  <w:endnote w:type="continuationSeparator" w:id="0">
    <w:p w:rsidR="00123A7C" w:rsidRDefault="00123A7C" w:rsidP="00123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7C" w:rsidRDefault="00123A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7C" w:rsidRDefault="00123A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7C" w:rsidRDefault="00123A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A7C" w:rsidRDefault="00123A7C" w:rsidP="00123A7C">
      <w:r>
        <w:separator/>
      </w:r>
    </w:p>
  </w:footnote>
  <w:footnote w:type="continuationSeparator" w:id="0">
    <w:p w:rsidR="00123A7C" w:rsidRDefault="00123A7C" w:rsidP="00123A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7C" w:rsidRDefault="00123A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7C" w:rsidRDefault="00123A7C" w:rsidP="00123A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A7C" w:rsidRPr="00123A7C" w:rsidRDefault="00123A7C" w:rsidP="00123A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Внесены изменения в некоторые приказы Министра энергетики РК по вопросам реализации товарного и сжиженного нефтяного газа (аннотация к документу от 14.06.2023)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7C" w:rsidRDefault="00123A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A7C"/>
    <w:rsid w:val="00123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A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A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A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A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A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A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A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A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56452" TargetMode="External"/><Relationship Id="rId18" Type="http://schemas.openxmlformats.org/officeDocument/2006/relationships/hyperlink" Target="http://online.zakon.kz/Document/?doc_id=31652216" TargetMode="External"/><Relationship Id="rId26" Type="http://schemas.openxmlformats.org/officeDocument/2006/relationships/hyperlink" Target="http://online.zakon.kz/Document/?doc_id=3420502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205022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9478920" TargetMode="External"/><Relationship Id="rId12" Type="http://schemas.openxmlformats.org/officeDocument/2006/relationships/hyperlink" Target="http://online.zakon.kz/Document/?doc_id=31656452" TargetMode="External"/><Relationship Id="rId17" Type="http://schemas.openxmlformats.org/officeDocument/2006/relationships/hyperlink" Target="http://online.zakon.kz/Document/?doc_id=31652216" TargetMode="External"/><Relationship Id="rId25" Type="http://schemas.openxmlformats.org/officeDocument/2006/relationships/hyperlink" Target="http://online.zakon.kz/Document/?doc_id=3420502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56452" TargetMode="External"/><Relationship Id="rId20" Type="http://schemas.openxmlformats.org/officeDocument/2006/relationships/hyperlink" Target="http://online.zakon.kz/Document/?doc_id=3420502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6452" TargetMode="External"/><Relationship Id="rId24" Type="http://schemas.openxmlformats.org/officeDocument/2006/relationships/hyperlink" Target="http://online.zakon.kz/Document/?doc_id=34205022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56452" TargetMode="External"/><Relationship Id="rId23" Type="http://schemas.openxmlformats.org/officeDocument/2006/relationships/hyperlink" Target="http://online.zakon.kz/Document/?doc_id=34205022" TargetMode="External"/><Relationship Id="rId28" Type="http://schemas.openxmlformats.org/officeDocument/2006/relationships/hyperlink" Target="http://online.zakon.kz/Document/?doc_id=36303551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656452" TargetMode="External"/><Relationship Id="rId19" Type="http://schemas.openxmlformats.org/officeDocument/2006/relationships/hyperlink" Target="http://online.zakon.kz/Document/?doc_id=39478920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6452" TargetMode="External"/><Relationship Id="rId14" Type="http://schemas.openxmlformats.org/officeDocument/2006/relationships/hyperlink" Target="http://online.zakon.kz/Document/?doc_id=31656452" TargetMode="External"/><Relationship Id="rId22" Type="http://schemas.openxmlformats.org/officeDocument/2006/relationships/hyperlink" Target="http://online.zakon.kz/Document/?doc_id=34205022" TargetMode="External"/><Relationship Id="rId27" Type="http://schemas.openxmlformats.org/officeDocument/2006/relationships/hyperlink" Target="http://online.zakon.kz/Document/?doc_id=3420502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16564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1746</Words>
  <Characters>14517</Characters>
  <Application>Microsoft Office Word</Application>
  <DocSecurity>0</DocSecurity>
  <Lines>120</Lines>
  <Paragraphs>32</Paragraphs>
  <ScaleCrop>false</ScaleCrop>
  <Company/>
  <LinksUpToDate>false</LinksUpToDate>
  <CharactersWithSpaces>16231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Внесены изменения в некоторые приказы Министра энергетики РК по вопросам реализации товарного и сжиженного нефтяного газа (аннотация к документу от 14.06.2023) (©Paragraph 2023)</dc:title>
  <dc:subject/>
  <dc:creator>Сергей М</dc:creator>
  <cp:keywords/>
  <dc:description/>
  <cp:lastModifiedBy>Сергей М</cp:lastModifiedBy>
  <cp:revision>2</cp:revision>
  <dcterms:created xsi:type="dcterms:W3CDTF">2023-06-30T03:47:00Z</dcterms:created>
  <dcterms:modified xsi:type="dcterms:W3CDTF">2023-06-30T03:47:00Z</dcterms:modified>
</cp:coreProperties>
</file>