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736FBD">
      <w:pPr>
        <w:pStyle w:val="pc"/>
      </w:pPr>
      <w:bookmarkStart w:id="0" w:name="_GoBack"/>
      <w:bookmarkEnd w:id="0"/>
      <w:r>
        <w:rPr>
          <w:b/>
          <w:bCs/>
        </w:rPr>
        <w:t xml:space="preserve">Совместный приказ Управляющего Международным финансовым центром «Астана» от 29 июня 2018 года № 61 и </w:t>
      </w:r>
    </w:p>
    <w:p w:rsidR="00000000" w:rsidRDefault="00736FBD">
      <w:pPr>
        <w:pStyle w:val="pc"/>
      </w:pPr>
      <w:r>
        <w:rPr>
          <w:b/>
          <w:bCs/>
        </w:rPr>
        <w:t xml:space="preserve">Председателя Комитета государственных доходов Министерства финансов Республики Казахстан от 2 июля 2018 года № 289 </w:t>
      </w:r>
    </w:p>
    <w:p w:rsidR="00000000" w:rsidRDefault="00736FBD">
      <w:pPr>
        <w:pStyle w:val="pc"/>
      </w:pPr>
      <w:r>
        <w:rPr>
          <w:b/>
          <w:bCs/>
        </w:rPr>
        <w:t>Об утверждении Специального положения № 2</w:t>
      </w:r>
    </w:p>
    <w:p w:rsidR="00000000" w:rsidRDefault="00736FBD">
      <w:pPr>
        <w:pStyle w:val="pj"/>
      </w:pPr>
      <w:r>
        <w:t> </w:t>
      </w:r>
    </w:p>
    <w:p w:rsidR="00000000" w:rsidRDefault="00736FBD">
      <w:pPr>
        <w:pStyle w:val="pj"/>
      </w:pPr>
      <w:r>
        <w:t xml:space="preserve">В соответствии с </w:t>
      </w:r>
      <w:hyperlink r:id="rId7" w:anchor="sub_id=60900" w:history="1">
        <w:r>
          <w:rPr>
            <w:rStyle w:val="a4"/>
          </w:rPr>
          <w:t>пунктом 9 статьи 6</w:t>
        </w:r>
      </w:hyperlink>
      <w:r>
        <w:t xml:space="preserve"> Конституционного закона Республики Казахстан от 7 декабря 2015 года «О Международном финансов</w:t>
      </w:r>
      <w:r>
        <w:t xml:space="preserve">ом центре «Астана» и </w:t>
      </w:r>
      <w:hyperlink r:id="rId8" w:anchor="sub_id=1100" w:history="1">
        <w:r>
          <w:rPr>
            <w:rStyle w:val="a4"/>
          </w:rPr>
          <w:t>пунктом 11</w:t>
        </w:r>
      </w:hyperlink>
      <w:r>
        <w:t xml:space="preserve"> Правил налогового администрирования и взаимодействия органов государственных доходов с органами и участниками Международного финансового центр</w:t>
      </w:r>
      <w:r>
        <w:t>а «Астана» по вопросам налогообложения, утвержденных совместным приказом Управляющего Международным финансовым центром «Астана» от 22 декабря 2017 года № 48 и Председателя Комитета государственных доходов Министерства финансов Республики Казахстан от 29 де</w:t>
      </w:r>
      <w:r>
        <w:t xml:space="preserve">кабря 2017 года № 596, </w:t>
      </w:r>
      <w:r>
        <w:rPr>
          <w:b/>
          <w:bCs/>
        </w:rPr>
        <w:t>ПРИКАЗЫВАЕМ:</w:t>
      </w:r>
    </w:p>
    <w:p w:rsidR="00000000" w:rsidRDefault="00736FBD">
      <w:pPr>
        <w:pStyle w:val="pj"/>
      </w:pPr>
      <w:r>
        <w:t>1. Утвердить прилагаемое Специальное положение № 2 (Специальное положение по налоговым регистрам по корпоративному подоходному налогу и налогу на добавленную стоимость для участников Международного финансового центра «Ас</w:t>
      </w:r>
      <w:r>
        <w:t xml:space="preserve">тана») согласно </w:t>
      </w:r>
      <w:hyperlink w:anchor="sub100" w:history="1">
        <w:r>
          <w:rPr>
            <w:rStyle w:val="a4"/>
          </w:rPr>
          <w:t>приложению</w:t>
        </w:r>
      </w:hyperlink>
      <w:r>
        <w:t xml:space="preserve"> к настоящему приказу.</w:t>
      </w:r>
    </w:p>
    <w:p w:rsidR="00000000" w:rsidRDefault="00736FBD">
      <w:pPr>
        <w:pStyle w:val="pj"/>
      </w:pPr>
      <w:r>
        <w:t>2. Настоящий совместный приказ вступает в силу со дня его подписания сторонами и размещения на сайте Международного финансового центра «Астана» и распространяется на правоотношен</w:t>
      </w:r>
      <w:r>
        <w:t>ия, возникшие с 1 января 2018 года.</w:t>
      </w:r>
    </w:p>
    <w:p w:rsidR="00000000" w:rsidRDefault="00736FBD">
      <w:pPr>
        <w:pStyle w:val="pj"/>
      </w:pPr>
      <w:r>
        <w:t> </w:t>
      </w:r>
    </w:p>
    <w:p w:rsidR="00000000" w:rsidRDefault="00736FBD">
      <w:pPr>
        <w:pStyle w:val="pr"/>
      </w:pPr>
      <w:bookmarkStart w:id="1" w:name="SUB100"/>
      <w:bookmarkEnd w:id="1"/>
      <w:r>
        <w:t>Приложение</w:t>
      </w:r>
    </w:p>
    <w:p w:rsidR="00000000" w:rsidRDefault="00736FBD">
      <w:pPr>
        <w:pStyle w:val="pr"/>
      </w:pPr>
      <w:r>
        <w:t xml:space="preserve">к </w:t>
      </w:r>
      <w:hyperlink w:anchor="sub0" w:history="1">
        <w:r>
          <w:rPr>
            <w:rStyle w:val="a4"/>
          </w:rPr>
          <w:t>совместному приказу</w:t>
        </w:r>
      </w:hyperlink>
    </w:p>
    <w:p w:rsidR="00000000" w:rsidRDefault="00736FBD">
      <w:pPr>
        <w:pStyle w:val="pr"/>
      </w:pPr>
      <w:r>
        <w:t>Управляющего Международным</w:t>
      </w:r>
    </w:p>
    <w:p w:rsidR="00000000" w:rsidRDefault="00736FBD">
      <w:pPr>
        <w:pStyle w:val="pr"/>
      </w:pPr>
      <w:r>
        <w:t>финансовым центром «Астана»</w:t>
      </w:r>
    </w:p>
    <w:p w:rsidR="00000000" w:rsidRDefault="00736FBD">
      <w:pPr>
        <w:pStyle w:val="pr"/>
      </w:pPr>
      <w:r>
        <w:t xml:space="preserve">от 29 июня 2018 года № 61 и </w:t>
      </w:r>
    </w:p>
    <w:p w:rsidR="00000000" w:rsidRDefault="00736FBD">
      <w:pPr>
        <w:pStyle w:val="pr"/>
      </w:pPr>
      <w:r>
        <w:t xml:space="preserve">Председателя Комитета </w:t>
      </w:r>
    </w:p>
    <w:p w:rsidR="00000000" w:rsidRDefault="00736FBD">
      <w:pPr>
        <w:pStyle w:val="pr"/>
      </w:pPr>
      <w:r>
        <w:t xml:space="preserve">государственных доходов </w:t>
      </w:r>
    </w:p>
    <w:p w:rsidR="00000000" w:rsidRDefault="00736FBD">
      <w:pPr>
        <w:pStyle w:val="pr"/>
      </w:pPr>
      <w:r>
        <w:t xml:space="preserve">Министерства финансов </w:t>
      </w:r>
    </w:p>
    <w:p w:rsidR="00000000" w:rsidRDefault="00736FBD">
      <w:pPr>
        <w:pStyle w:val="pr"/>
      </w:pPr>
      <w:r>
        <w:t>Рес</w:t>
      </w:r>
      <w:r>
        <w:t xml:space="preserve">публики Казахстан </w:t>
      </w:r>
    </w:p>
    <w:p w:rsidR="00000000" w:rsidRDefault="00736FBD">
      <w:pPr>
        <w:pStyle w:val="pr"/>
      </w:pPr>
      <w:r>
        <w:t>от 2 июля 2018 года № 289</w:t>
      </w:r>
    </w:p>
    <w:p w:rsidR="00000000" w:rsidRDefault="00736FBD">
      <w:pPr>
        <w:pStyle w:val="pj"/>
      </w:pPr>
      <w:r>
        <w:t> </w:t>
      </w:r>
    </w:p>
    <w:p w:rsidR="00000000" w:rsidRDefault="00736FBD">
      <w:pPr>
        <w:pStyle w:val="pj"/>
      </w:pPr>
      <w:r>
        <w:t> </w:t>
      </w:r>
    </w:p>
    <w:p w:rsidR="00000000" w:rsidRDefault="00736FBD">
      <w:pPr>
        <w:pStyle w:val="pc"/>
      </w:pPr>
      <w:r>
        <w:rPr>
          <w:rStyle w:val="s1"/>
        </w:rPr>
        <w:t>Специальное положение № 2</w:t>
      </w:r>
      <w:r>
        <w:rPr>
          <w:rStyle w:val="s1"/>
        </w:rPr>
        <w:br/>
        <w:t>(Специальное положение по налоговым регистрам по корпоративному</w:t>
      </w:r>
      <w:r>
        <w:rPr>
          <w:rStyle w:val="s1"/>
        </w:rPr>
        <w:br/>
        <w:t>подоходному налогу и налогу на добавленную стоимость для участников</w:t>
      </w:r>
      <w:r>
        <w:rPr>
          <w:rStyle w:val="s1"/>
        </w:rPr>
        <w:br/>
        <w:t>Международного финансового центра «Астана»)</w:t>
      </w:r>
    </w:p>
    <w:p w:rsidR="00000000" w:rsidRDefault="00736FBD">
      <w:pPr>
        <w:pStyle w:val="p"/>
      </w:pPr>
      <w:r>
        <w:t> </w:t>
      </w:r>
    </w:p>
    <w:p w:rsidR="00000000" w:rsidRDefault="00736FBD">
      <w:pPr>
        <w:pStyle w:val="pj"/>
      </w:pPr>
      <w:r>
        <w:t xml:space="preserve">1. </w:t>
      </w:r>
      <w:r>
        <w:t xml:space="preserve">Настоящее Специальное положение № 2 (Специальное положение по налоговым регистрам по корпоративному подоходному налогу и налогу на добавленную стоимость для участников Международного финансового центра «Астана») разработано в соответствии с </w:t>
      </w:r>
      <w:hyperlink r:id="rId9" w:anchor="sub_id=60900" w:history="1">
        <w:r>
          <w:rPr>
            <w:rStyle w:val="a4"/>
          </w:rPr>
          <w:t>пунктом 9 статьи 6</w:t>
        </w:r>
      </w:hyperlink>
      <w:r>
        <w:t xml:space="preserve"> Конституционного закона Республики Казахстан от 7 декабря 2015 года «О Международном финансовом центре «Астана» (далее - Конституционный закон), </w:t>
      </w:r>
      <w:hyperlink r:id="rId10" w:anchor="sub_id=110000" w:history="1">
        <w:r>
          <w:rPr>
            <w:rStyle w:val="a4"/>
          </w:rPr>
          <w:t>пунктом 11</w:t>
        </w:r>
      </w:hyperlink>
      <w:r>
        <w:t xml:space="preserve"> Правил налогового администрирования и взаимодействия органов государственных доходов с органами и участниками Международного финансового центра «Астана» по вопросам налогообложения, утв</w:t>
      </w:r>
      <w:r>
        <w:t>ержденных совместным приказом Управляющего Международным финансовым центром «Астана» от 22 декабря 2017 года № 48 и Председателя Комитета государственных доходов Министерства финансов Республики Казахстан от 29 декабря 2017 года № 596 (далее - Правила нало</w:t>
      </w:r>
      <w:r>
        <w:t>гового администрирования), и утверждает формы налоговых регистров по корпоративному подоходному налогу и налогу на добавленную стоимость для участников Международного финансового центра «Астана».</w:t>
      </w:r>
    </w:p>
    <w:p w:rsidR="00000000" w:rsidRDefault="00736FBD">
      <w:pPr>
        <w:pStyle w:val="pj"/>
      </w:pPr>
      <w:r>
        <w:t>2. Понятия и термины, используемые в настоящем Специальном п</w:t>
      </w:r>
      <w:r>
        <w:t xml:space="preserve">оложении № 2, применяются в том значении, в каком они используются в Кодексе Республики Казахстан «О налогах и других обязательных платежах в бюджет» (Налоговый кодекс), Правилах налогового администрирования и </w:t>
      </w:r>
      <w:hyperlink r:id="rId11" w:anchor="sub_id=100" w:history="1">
        <w:r>
          <w:rPr>
            <w:rStyle w:val="a4"/>
          </w:rPr>
          <w:t>Правилах</w:t>
        </w:r>
      </w:hyperlink>
      <w:r>
        <w:t xml:space="preserve"> ведения участниками Международного финансового центра «Астана» раздельного учета доходов, подлежащих освобождению от корпоративного подоходного налога и подлежащих налогообложению, а также расходов, подлежащих от</w:t>
      </w:r>
      <w:r>
        <w:t>несению на вычеты, утвержденных совместным приказом Управляющего Международным финансовым центром «Астана» от 8 декабря 2017 года № 33, Министра финансов Республики Казахстан от 11 декабря 2017 года № 711 и Министра национальной экономики Республики Казахс</w:t>
      </w:r>
      <w:r>
        <w:t>тан от 12 декабря 2017 года № 405.</w:t>
      </w:r>
    </w:p>
    <w:p w:rsidR="00000000" w:rsidRDefault="00736FBD">
      <w:pPr>
        <w:pStyle w:val="pj"/>
      </w:pPr>
      <w:r>
        <w:t>3. Участники Центра, не являющиеся налогоплательщиками Центра, составляют налоговые регистры по корпоративному подоходному налогу и налогу на добавленную стоимость по формам, утвержденным налогоплательщиком в соответствии</w:t>
      </w:r>
      <w:r>
        <w:t xml:space="preserve"> с </w:t>
      </w:r>
      <w:hyperlink r:id="rId12" w:anchor="sub_id=2150200" w:history="1">
        <w:r>
          <w:rPr>
            <w:rStyle w:val="a4"/>
          </w:rPr>
          <w:t>подпунктом 1) пункта 2 статьи 215</w:t>
        </w:r>
      </w:hyperlink>
      <w:r>
        <w:t xml:space="preserve"> Налогового кодекса и уполномоченным органом в соответствии с подпунктом 2) пункта 2 </w:t>
      </w:r>
      <w:hyperlink r:id="rId13" w:anchor="sub_id=2150000" w:history="1">
        <w:r>
          <w:rPr>
            <w:rStyle w:val="a4"/>
          </w:rPr>
          <w:t>статьи 215</w:t>
        </w:r>
      </w:hyperlink>
      <w:r>
        <w:t xml:space="preserve"> Налогового кодекса.</w:t>
      </w:r>
    </w:p>
    <w:p w:rsidR="00000000" w:rsidRDefault="00736FBD">
      <w:pPr>
        <w:pStyle w:val="pj"/>
      </w:pPr>
      <w:r>
        <w:t xml:space="preserve">4. Участники Центра, являющиеся налогоплательщиками Центра, составляют налоговые регистры по корпоративному подоходному налогу по формам, утвержденным одним из следующих способов (по выбору </w:t>
      </w:r>
      <w:r>
        <w:t>участника Центра):</w:t>
      </w:r>
    </w:p>
    <w:p w:rsidR="00000000" w:rsidRDefault="00736FBD">
      <w:pPr>
        <w:pStyle w:val="pj"/>
      </w:pPr>
      <w:r>
        <w:t xml:space="preserve">1) участником Центра в соответствии с </w:t>
      </w:r>
      <w:hyperlink r:id="rId14" w:anchor="sub_id=2150000" w:history="1">
        <w:r>
          <w:rPr>
            <w:rStyle w:val="a4"/>
          </w:rPr>
          <w:t>подпунктом 1) пункта 2 статьи 215</w:t>
        </w:r>
      </w:hyperlink>
      <w:r>
        <w:t xml:space="preserve"> Налогового кодекса и уполномоченным органом в соответствии с </w:t>
      </w:r>
      <w:hyperlink r:id="rId15" w:anchor="sub_id=2150000" w:history="1">
        <w:r>
          <w:rPr>
            <w:rStyle w:val="a4"/>
          </w:rPr>
          <w:t>подпунктом 2) пункта 2 статьи 215</w:t>
        </w:r>
      </w:hyperlink>
      <w:r>
        <w:t xml:space="preserve"> Налогового кодекса;</w:t>
      </w:r>
    </w:p>
    <w:p w:rsidR="00000000" w:rsidRDefault="00736FBD">
      <w:pPr>
        <w:pStyle w:val="pj"/>
      </w:pPr>
      <w:r>
        <w:t xml:space="preserve">2) согласно приложениям 1-34 к настоящему Специальному положению № 2 и уполномоченным органом в соответствии с </w:t>
      </w:r>
      <w:hyperlink r:id="rId16" w:anchor="sub_id=2150000" w:history="1">
        <w:r>
          <w:rPr>
            <w:rStyle w:val="a4"/>
          </w:rPr>
          <w:t>подпунктом 2) пункта 2 статьи 215</w:t>
        </w:r>
      </w:hyperlink>
      <w:r>
        <w:t xml:space="preserve"> Налогового кодекса.</w:t>
      </w:r>
    </w:p>
    <w:p w:rsidR="00000000" w:rsidRDefault="00736FBD">
      <w:pPr>
        <w:pStyle w:val="pj"/>
      </w:pPr>
      <w:r>
        <w:t>5. Участники Центра, являющиеся налогоплательщиками Центра, составляют налоговые регистры по налогу на добавленную стоимость по формам, утверж</w:t>
      </w:r>
      <w:r>
        <w:t xml:space="preserve">денным налогоплательщиком в соответствии с </w:t>
      </w:r>
      <w:hyperlink r:id="rId17" w:anchor="sub_id=2150000" w:history="1">
        <w:r>
          <w:rPr>
            <w:rStyle w:val="a4"/>
          </w:rPr>
          <w:t>подпунктом 1) пункта 2 статьи 215</w:t>
        </w:r>
      </w:hyperlink>
      <w:r>
        <w:t xml:space="preserve"> Налогового кодекса и уполномоченным органом в соответствии с </w:t>
      </w:r>
      <w:hyperlink r:id="rId18" w:anchor="sub_id=2150000" w:history="1">
        <w:r>
          <w:rPr>
            <w:rStyle w:val="a4"/>
          </w:rPr>
          <w:t>подпунктом 2) пункта 2 статьи 215</w:t>
        </w:r>
      </w:hyperlink>
      <w:r>
        <w:t xml:space="preserve"> Налогового кодекса.</w:t>
      </w:r>
    </w:p>
    <w:p w:rsidR="00000000" w:rsidRDefault="00736FBD">
      <w:pPr>
        <w:pStyle w:val="pj"/>
      </w:pPr>
      <w:r>
        <w:t>6. В налоговые регистры по корпоративному подоходному налогу, указанные в пункте 4 настоящего Специального положения № 2, участниками Цент</w:t>
      </w:r>
      <w:r>
        <w:t>ра, являющимися налогоплательщиками Центра, могут быть включены дополнительные показатели.</w:t>
      </w:r>
    </w:p>
    <w:p w:rsidR="00000000" w:rsidRDefault="00736FBD">
      <w:pPr>
        <w:pStyle w:val="pj"/>
      </w:pPr>
      <w:r>
        <w:t>7. В случае отсутствия в составе форм налоговых регистров по корпоративному подоходному налогу, указанных в пункте 4 настоящего Специального положения № 2, формы нал</w:t>
      </w:r>
      <w:r>
        <w:t xml:space="preserve">огового регистра или показателей, необходимых для обобщения и систематизации информации для обеспечения целей налогового учета, указанных в </w:t>
      </w:r>
      <w:hyperlink r:id="rId19" w:anchor="sub_id=1900500" w:history="1">
        <w:r>
          <w:rPr>
            <w:rStyle w:val="a4"/>
          </w:rPr>
          <w:t>пункте 5 статьи 190</w:t>
        </w:r>
      </w:hyperlink>
      <w:r>
        <w:t xml:space="preserve"> </w:t>
      </w:r>
      <w:r>
        <w:t>Налогового кодекса, участник Центра, являющийся налогоплательщиком Центра, обязан самостоятельно дополнительно разработать и утвердить соответствующую форму налогового регистра или дополнить форму налогового регистра, указанную в пункте 4 настоящего Специа</w:t>
      </w:r>
      <w:r>
        <w:t>льного положения № 2, соответствующими показателями.</w:t>
      </w:r>
    </w:p>
    <w:p w:rsidR="00000000" w:rsidRDefault="00736FBD">
      <w:pPr>
        <w:pStyle w:val="pj"/>
      </w:pPr>
      <w:r>
        <w:t xml:space="preserve">8. В налоговых регистрах по корпоративному подоходному налогу, утвержденных согласно </w:t>
      </w:r>
      <w:hyperlink w:anchor="sub1" w:history="1">
        <w:r>
          <w:rPr>
            <w:rStyle w:val="a4"/>
          </w:rPr>
          <w:t>приложениям 1-34</w:t>
        </w:r>
      </w:hyperlink>
      <w:r>
        <w:t xml:space="preserve"> к настоящему Специальному положению № 2:</w:t>
      </w:r>
    </w:p>
    <w:p w:rsidR="00000000" w:rsidRDefault="00736FBD">
      <w:pPr>
        <w:pStyle w:val="pj"/>
      </w:pPr>
      <w:r>
        <w:t>по основной деятельности подлежат</w:t>
      </w:r>
      <w:r>
        <w:t xml:space="preserve"> отражению прямые доходы, прямые расходы и косвенные расходы;</w:t>
      </w:r>
    </w:p>
    <w:p w:rsidR="00000000" w:rsidRDefault="00736FBD">
      <w:pPr>
        <w:pStyle w:val="pj"/>
      </w:pPr>
      <w:r>
        <w:t>по прочей деятельности подлежат отражению прочие доходы, прочие расходы и сторонние расходы.</w:t>
      </w:r>
    </w:p>
    <w:p w:rsidR="00000000" w:rsidRDefault="00736FBD">
      <w:pPr>
        <w:pStyle w:val="pc"/>
      </w:pPr>
      <w:r>
        <w:t> </w:t>
      </w:r>
    </w:p>
    <w:p w:rsidR="00000000" w:rsidRDefault="00736FBD">
      <w:pPr>
        <w:pStyle w:val="pc"/>
      </w:pPr>
      <w:bookmarkStart w:id="2" w:name="SUB1"/>
      <w:bookmarkEnd w:id="2"/>
      <w:r>
        <w:rPr>
          <w:noProof/>
        </w:rPr>
        <w:drawing>
          <wp:inline distT="0" distB="0" distL="0" distR="0">
            <wp:extent cx="9029700" cy="6067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0.105/api/DocumentObject/GetImageAsync?ImageId=4176020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36FBD">
      <w:pPr>
        <w:pStyle w:val="pc"/>
      </w:pPr>
      <w:r>
        <w:rPr>
          <w:noProof/>
        </w:rPr>
        <w:drawing>
          <wp:inline distT="0" distB="0" distL="0" distR="0">
            <wp:extent cx="9077325" cy="5819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92.168.0.105/api/DocumentObject/GetImageAsync?ImageId=4176020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32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36FBD">
      <w:pPr>
        <w:pStyle w:val="pc"/>
      </w:pPr>
      <w:r>
        <w:rPr>
          <w:noProof/>
        </w:rPr>
        <w:drawing>
          <wp:inline distT="0" distB="0" distL="0" distR="0">
            <wp:extent cx="9505950" cy="3343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92.168.0.105/api/DocumentObject/GetImageAsync?ImageId=4176020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36FBD">
      <w:pPr>
        <w:pStyle w:val="pc"/>
      </w:pPr>
      <w:r>
        <w:rPr>
          <w:noProof/>
        </w:rPr>
        <w:drawing>
          <wp:inline distT="0" distB="0" distL="0" distR="0">
            <wp:extent cx="9486900" cy="3771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92.168.0.105/api/DocumentObject/GetImageAsync?ImageId=4176020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36FBD">
      <w:pPr>
        <w:pStyle w:val="pc"/>
      </w:pPr>
      <w:r>
        <w:rPr>
          <w:noProof/>
        </w:rPr>
        <w:drawing>
          <wp:inline distT="0" distB="0" distL="0" distR="0">
            <wp:extent cx="9344025" cy="33718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92.168.0.105/api/DocumentObject/GetImageAsync?ImageId=4176020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0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36FBD">
      <w:pPr>
        <w:pStyle w:val="pc"/>
      </w:pPr>
      <w:r>
        <w:rPr>
          <w:noProof/>
        </w:rPr>
        <w:drawing>
          <wp:inline distT="0" distB="0" distL="0" distR="0">
            <wp:extent cx="9353550" cy="3371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92.168.0.105/api/DocumentObject/GetImageAsync?ImageId=417602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36FBD">
      <w:pPr>
        <w:pStyle w:val="pc"/>
      </w:pPr>
      <w:r>
        <w:rPr>
          <w:noProof/>
        </w:rPr>
        <w:drawing>
          <wp:inline distT="0" distB="0" distL="0" distR="0">
            <wp:extent cx="9448800" cy="27146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92.168.0.105/api/DocumentObject/GetImageAsync?ImageId=417602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36FBD">
      <w:pPr>
        <w:pStyle w:val="pc"/>
      </w:pPr>
      <w:r>
        <w:rPr>
          <w:noProof/>
        </w:rPr>
        <w:drawing>
          <wp:inline distT="0" distB="0" distL="0" distR="0">
            <wp:extent cx="9496425" cy="43434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192.168.0.105/api/DocumentObject/GetImageAsync?ImageId=417602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4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36FBD">
      <w:pPr>
        <w:pStyle w:val="pc"/>
      </w:pPr>
      <w:r>
        <w:rPr>
          <w:noProof/>
        </w:rPr>
        <w:drawing>
          <wp:inline distT="0" distB="0" distL="0" distR="0">
            <wp:extent cx="6686550" cy="4591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92.168.0.105/api/DocumentObject/GetImageAsync?ImageId=417602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36FBD">
      <w:pPr>
        <w:pStyle w:val="pc"/>
      </w:pPr>
      <w:r>
        <w:rPr>
          <w:noProof/>
        </w:rPr>
        <w:drawing>
          <wp:inline distT="0" distB="0" distL="0" distR="0">
            <wp:extent cx="9467850" cy="33051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92.168.0.105/api/DocumentObject/GetImageAsync?ImageId=417602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36FBD">
      <w:pPr>
        <w:pStyle w:val="pc"/>
      </w:pPr>
      <w:r>
        <w:rPr>
          <w:noProof/>
        </w:rPr>
        <w:drawing>
          <wp:inline distT="0" distB="0" distL="0" distR="0">
            <wp:extent cx="9629775" cy="36480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192.168.0.105/api/DocumentObject/GetImageAsync?ImageId=417602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7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36FBD">
      <w:pPr>
        <w:pStyle w:val="pc"/>
      </w:pPr>
      <w:r>
        <w:rPr>
          <w:noProof/>
        </w:rPr>
        <w:drawing>
          <wp:inline distT="0" distB="0" distL="0" distR="0">
            <wp:extent cx="8991600" cy="47148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192.168.0.105/api/DocumentObject/GetImageAsync?ImageId=417602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36FBD">
      <w:pPr>
        <w:pStyle w:val="pc"/>
      </w:pPr>
      <w:r>
        <w:rPr>
          <w:noProof/>
        </w:rPr>
        <w:drawing>
          <wp:inline distT="0" distB="0" distL="0" distR="0">
            <wp:extent cx="9334500" cy="38195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92.168.0.105/api/DocumentObject/GetImageAsync?ImageId=417602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36FBD">
      <w:pPr>
        <w:pStyle w:val="pc"/>
      </w:pPr>
      <w:r>
        <w:rPr>
          <w:noProof/>
        </w:rPr>
        <w:drawing>
          <wp:inline distT="0" distB="0" distL="0" distR="0">
            <wp:extent cx="9401175" cy="34671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192.168.0.105/api/DocumentObject/GetImageAsync?ImageId=417602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36FBD">
      <w:pPr>
        <w:pStyle w:val="pc"/>
      </w:pPr>
      <w:r>
        <w:rPr>
          <w:noProof/>
        </w:rPr>
        <w:drawing>
          <wp:inline distT="0" distB="0" distL="0" distR="0">
            <wp:extent cx="9429750" cy="43910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192.168.0.105/api/DocumentObject/GetImageAsync?ImageId=417602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36FBD">
      <w:pPr>
        <w:pStyle w:val="pc"/>
      </w:pPr>
      <w:r>
        <w:rPr>
          <w:noProof/>
        </w:rPr>
        <w:drawing>
          <wp:inline distT="0" distB="0" distL="0" distR="0">
            <wp:extent cx="7467600" cy="41624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92.168.0.105/api/DocumentObject/GetImageAsync?ImageId=417602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36FBD">
      <w:pPr>
        <w:pStyle w:val="pc"/>
      </w:pPr>
      <w:r>
        <w:rPr>
          <w:noProof/>
        </w:rPr>
        <w:drawing>
          <wp:inline distT="0" distB="0" distL="0" distR="0">
            <wp:extent cx="5314950" cy="60864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192.168.0.105/api/DocumentObject/GetImageAsync?ImageId=417602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36FBD">
      <w:pPr>
        <w:pStyle w:val="pc"/>
      </w:pPr>
      <w:r>
        <w:rPr>
          <w:noProof/>
        </w:rPr>
        <w:drawing>
          <wp:inline distT="0" distB="0" distL="0" distR="0">
            <wp:extent cx="7467600" cy="61341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192.168.0.105/api/DocumentObject/GetImageAsync?ImageId=417602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36FBD">
      <w:pPr>
        <w:pStyle w:val="pc"/>
      </w:pPr>
      <w:r>
        <w:rPr>
          <w:noProof/>
        </w:rPr>
        <w:drawing>
          <wp:inline distT="0" distB="0" distL="0" distR="0">
            <wp:extent cx="6219825" cy="59721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92.168.0.105/api/DocumentObject/GetImageAsync?ImageId=417602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36FBD">
      <w:pPr>
        <w:pStyle w:val="pc"/>
      </w:pPr>
      <w:r>
        <w:rPr>
          <w:noProof/>
        </w:rPr>
        <w:drawing>
          <wp:inline distT="0" distB="0" distL="0" distR="0">
            <wp:extent cx="9382125" cy="43910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192.168.0.105/api/DocumentObject/GetImageAsync?ImageId=417602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1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36FBD">
      <w:pPr>
        <w:pStyle w:val="pc"/>
      </w:pPr>
      <w:r>
        <w:rPr>
          <w:noProof/>
        </w:rPr>
        <w:drawing>
          <wp:inline distT="0" distB="0" distL="0" distR="0">
            <wp:extent cx="9334500" cy="48863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192.168.0.105/api/DocumentObject/GetImageAsync?ImageId=417602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36FBD">
      <w:pPr>
        <w:pStyle w:val="pc"/>
      </w:pPr>
      <w:r>
        <w:rPr>
          <w:noProof/>
        </w:rPr>
        <w:drawing>
          <wp:inline distT="0" distB="0" distL="0" distR="0">
            <wp:extent cx="6400800" cy="52482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192.168.0.105/api/DocumentObject/GetImageAsync?ImageId=417602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36FBD">
      <w:pPr>
        <w:pStyle w:val="pc"/>
      </w:pPr>
      <w:r>
        <w:rPr>
          <w:noProof/>
        </w:rPr>
        <w:drawing>
          <wp:inline distT="0" distB="0" distL="0" distR="0">
            <wp:extent cx="9563100" cy="38385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192.168.0.105/api/DocumentObject/GetImageAsync?ImageId=4176022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36FBD">
      <w:pPr>
        <w:pStyle w:val="pc"/>
      </w:pPr>
      <w:r>
        <w:rPr>
          <w:noProof/>
        </w:rPr>
        <w:drawing>
          <wp:inline distT="0" distB="0" distL="0" distR="0">
            <wp:extent cx="9486900" cy="43624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192.168.0.105/api/DocumentObject/GetImageAsync?ImageId=4176022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36FBD">
      <w:pPr>
        <w:pStyle w:val="pc"/>
      </w:pPr>
      <w:r>
        <w:rPr>
          <w:noProof/>
        </w:rPr>
        <w:drawing>
          <wp:inline distT="0" distB="0" distL="0" distR="0">
            <wp:extent cx="9248775" cy="50958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192.168.0.105/api/DocumentObject/GetImageAsync?ImageId=4176022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36FBD">
      <w:pPr>
        <w:pStyle w:val="pc"/>
      </w:pPr>
      <w:r>
        <w:rPr>
          <w:noProof/>
        </w:rPr>
        <w:drawing>
          <wp:inline distT="0" distB="0" distL="0" distR="0">
            <wp:extent cx="9334500" cy="37242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192.168.0.105/api/DocumentObject/GetImageAsync?ImageId=4176023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36FBD">
      <w:pPr>
        <w:pStyle w:val="pc"/>
      </w:pPr>
      <w:r>
        <w:rPr>
          <w:noProof/>
        </w:rPr>
        <w:drawing>
          <wp:inline distT="0" distB="0" distL="0" distR="0">
            <wp:extent cx="9353550" cy="29813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192.168.0.105/api/DocumentObject/GetImageAsync?ImageId=4176023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36FBD">
      <w:pPr>
        <w:pStyle w:val="pc"/>
      </w:pPr>
      <w:r>
        <w:rPr>
          <w:noProof/>
        </w:rPr>
        <w:drawing>
          <wp:inline distT="0" distB="0" distL="0" distR="0">
            <wp:extent cx="9410700" cy="54959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192.168.0.105/api/DocumentObject/GetImageAsync?ImageId=4176023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36FBD">
      <w:pPr>
        <w:pStyle w:val="pc"/>
      </w:pPr>
      <w:r>
        <w:rPr>
          <w:noProof/>
        </w:rPr>
        <w:drawing>
          <wp:inline distT="0" distB="0" distL="0" distR="0">
            <wp:extent cx="8420100" cy="52387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192.168.0.105/api/DocumentObject/GetImageAsync?ImageId=4176023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36FBD">
      <w:pPr>
        <w:pStyle w:val="pc"/>
      </w:pPr>
      <w:r>
        <w:rPr>
          <w:noProof/>
        </w:rPr>
        <w:drawing>
          <wp:inline distT="0" distB="0" distL="0" distR="0">
            <wp:extent cx="9010650" cy="45434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192.168.0.105/api/DocumentObject/GetImageAsync?ImageId=4176023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36FBD">
      <w:pPr>
        <w:pStyle w:val="pc"/>
      </w:pPr>
      <w:r>
        <w:rPr>
          <w:noProof/>
        </w:rPr>
        <w:drawing>
          <wp:inline distT="0" distB="0" distL="0" distR="0">
            <wp:extent cx="9267825" cy="50006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192.168.0.105/api/DocumentObject/GetImageAsync?ImageId=4176023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36FBD">
      <w:pPr>
        <w:pStyle w:val="pc"/>
      </w:pPr>
      <w:r>
        <w:rPr>
          <w:noProof/>
        </w:rPr>
        <w:drawing>
          <wp:inline distT="0" distB="0" distL="0" distR="0">
            <wp:extent cx="9429750" cy="45434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192.168.0.105/api/DocumentObject/GetImageAsync?ImageId=4176023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36FBD">
      <w:pPr>
        <w:pStyle w:val="pc"/>
      </w:pPr>
      <w:r>
        <w:rPr>
          <w:noProof/>
        </w:rPr>
        <w:drawing>
          <wp:inline distT="0" distB="0" distL="0" distR="0">
            <wp:extent cx="9420225" cy="55245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192.168.0.105/api/DocumentObject/GetImageAsync?ImageId=4176023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36FBD">
      <w:pPr>
        <w:pStyle w:val="pc"/>
      </w:pPr>
      <w:r>
        <w:rPr>
          <w:noProof/>
        </w:rPr>
        <w:drawing>
          <wp:inline distT="0" distB="0" distL="0" distR="0">
            <wp:extent cx="9315450" cy="59817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192.168.0.105/api/DocumentObject/GetImageAsync?ImageId=4176023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0000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6FBD" w:rsidRDefault="00736FBD" w:rsidP="00736FBD">
      <w:r>
        <w:separator/>
      </w:r>
    </w:p>
  </w:endnote>
  <w:endnote w:type="continuationSeparator" w:id="0">
    <w:p w:rsidR="00736FBD" w:rsidRDefault="00736FBD" w:rsidP="00736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FBD" w:rsidRDefault="00736FBD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FBD" w:rsidRDefault="00736FBD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FBD" w:rsidRDefault="00736FB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6FBD" w:rsidRDefault="00736FBD" w:rsidP="00736FBD">
      <w:r>
        <w:separator/>
      </w:r>
    </w:p>
  </w:footnote>
  <w:footnote w:type="continuationSeparator" w:id="0">
    <w:p w:rsidR="00736FBD" w:rsidRDefault="00736FBD" w:rsidP="00736F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FBD" w:rsidRDefault="00736FBD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FBD" w:rsidRDefault="00736FBD" w:rsidP="00736FBD">
    <w:pPr>
      <w:pStyle w:val="a8"/>
      <w:spacing w:after="100"/>
      <w:jc w:val="right"/>
      <w:rPr>
        <w:rFonts w:ascii="Arial" w:hAnsi="Arial" w:cs="Arial"/>
        <w:color w:val="808080"/>
        <w:sz w:val="20"/>
      </w:rPr>
    </w:pPr>
    <w:r>
      <w:rPr>
        <w:rFonts w:ascii="Arial" w:hAnsi="Arial" w:cs="Arial"/>
        <w:color w:val="808080"/>
        <w:sz w:val="20"/>
      </w:rPr>
      <w:t>Источник: Информационная система "ПАРАГРАФ"</w:t>
    </w:r>
  </w:p>
  <w:p w:rsidR="00736FBD" w:rsidRDefault="00736FBD" w:rsidP="00736FBD">
    <w:pPr>
      <w:pStyle w:val="a8"/>
      <w:spacing w:after="100"/>
      <w:jc w:val="right"/>
      <w:rPr>
        <w:rFonts w:ascii="Arial" w:hAnsi="Arial" w:cs="Arial"/>
        <w:color w:val="808080"/>
        <w:sz w:val="20"/>
      </w:rPr>
    </w:pPr>
    <w:r>
      <w:rPr>
        <w:rFonts w:ascii="Arial" w:hAnsi="Arial" w:cs="Arial"/>
        <w:color w:val="808080"/>
        <w:sz w:val="20"/>
      </w:rPr>
      <w:t>Документ: Совместный приказ Управляющего Международным финансовым центром «Астана» от 29 июня 2018 года № 61 и Председателя Комитета государственных доходов Министерства финансов Республики Казахстан от 2 июля 2018 года № 289 «Об утверждении Специального положения № 2»</w:t>
    </w:r>
  </w:p>
  <w:p w:rsidR="00736FBD" w:rsidRPr="00736FBD" w:rsidRDefault="00736FBD" w:rsidP="00736FBD">
    <w:pPr>
      <w:pStyle w:val="a8"/>
      <w:spacing w:after="100"/>
      <w:jc w:val="right"/>
      <w:rPr>
        <w:rFonts w:ascii="Arial" w:hAnsi="Arial" w:cs="Arial"/>
        <w:color w:val="808080"/>
        <w:sz w:val="20"/>
      </w:rPr>
    </w:pPr>
    <w:r>
      <w:rPr>
        <w:rFonts w:ascii="Arial" w:hAnsi="Arial" w:cs="Arial"/>
        <w:color w:val="808080"/>
        <w:sz w:val="20"/>
      </w:rPr>
      <w:t>Статус документа: действующий. Дата: 02.07.2018 г.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FBD" w:rsidRDefault="00736FBD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removePersonalInformation/>
  <w:removeDateAndTime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736FBD"/>
    <w:rsid w:val="00736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Pr>
      <w:color w:val="000000"/>
    </w:rPr>
  </w:style>
  <w:style w:type="paragraph" w:customStyle="1" w:styleId="pc">
    <w:name w:val="pc"/>
    <w:basedOn w:val="a"/>
    <w:pPr>
      <w:jc w:val="center"/>
    </w:pPr>
    <w:rPr>
      <w:color w:val="000000"/>
    </w:rPr>
  </w:style>
  <w:style w:type="paragraph" w:customStyle="1" w:styleId="pr">
    <w:name w:val="pr"/>
    <w:basedOn w:val="a"/>
    <w:pPr>
      <w:jc w:val="right"/>
    </w:pPr>
    <w:rPr>
      <w:color w:val="000000"/>
    </w:rPr>
  </w:style>
  <w:style w:type="paragraph" w:customStyle="1" w:styleId="pj">
    <w:name w:val="pj"/>
    <w:basedOn w:val="a"/>
    <w:pPr>
      <w:ind w:firstLine="400"/>
      <w:jc w:val="both"/>
    </w:pPr>
    <w:rPr>
      <w:color w:val="000000"/>
    </w:rPr>
  </w:style>
  <w:style w:type="paragraph" w:customStyle="1" w:styleId="pji">
    <w:name w:val="pji"/>
    <w:basedOn w:val="a"/>
    <w:pPr>
      <w:jc w:val="both"/>
    </w:pPr>
    <w:rPr>
      <w:color w:val="000000"/>
    </w:rPr>
  </w:style>
  <w:style w:type="paragraph" w:customStyle="1" w:styleId="msochpdefault">
    <w:name w:val="msochpdefault"/>
    <w:basedOn w:val="a"/>
    <w:rPr>
      <w:color w:val="000000"/>
      <w:sz w:val="20"/>
      <w:szCs w:val="20"/>
    </w:rPr>
  </w:style>
  <w:style w:type="character" w:customStyle="1" w:styleId="s2">
    <w:name w:val="s2"/>
    <w:basedOn w:val="a0"/>
    <w:rPr>
      <w:rFonts w:ascii="Times New Roman" w:hAnsi="Times New Roman" w:cs="Times New Roman" w:hint="default"/>
      <w:color w:val="333399"/>
      <w:u w:val="single"/>
    </w:rPr>
  </w:style>
  <w:style w:type="character" w:customStyle="1" w:styleId="s1">
    <w:name w:val="s1"/>
    <w:basedOn w:val="a0"/>
    <w:rPr>
      <w:rFonts w:ascii="Times New Roman" w:hAnsi="Times New Roman" w:cs="Times New Roman" w:hint="default"/>
      <w:b/>
      <w:bCs/>
      <w:color w:val="000000"/>
    </w:r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Pr>
      <w:color w:val="800080"/>
      <w:u w:val="single"/>
    </w:rPr>
  </w:style>
  <w:style w:type="paragraph" w:customStyle="1" w:styleId="p">
    <w:name w:val="p"/>
    <w:basedOn w:val="a"/>
    <w:rPr>
      <w:color w:val="000000"/>
    </w:rPr>
  </w:style>
  <w:style w:type="paragraph" w:styleId="a6">
    <w:name w:val="Balloon Text"/>
    <w:basedOn w:val="a"/>
    <w:link w:val="a7"/>
    <w:uiPriority w:val="99"/>
    <w:semiHidden/>
    <w:unhideWhenUsed/>
    <w:rsid w:val="00736FB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6FBD"/>
    <w:rPr>
      <w:rFonts w:ascii="Tahoma" w:eastAsiaTheme="minorEastAsi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36FB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36FBD"/>
    <w:rPr>
      <w:rFonts w:eastAsiaTheme="minorEastAsia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736FB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36FBD"/>
    <w:rPr>
      <w:rFonts w:eastAsiaTheme="minorEastAsi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Pr>
      <w:color w:val="000000"/>
    </w:rPr>
  </w:style>
  <w:style w:type="paragraph" w:customStyle="1" w:styleId="pc">
    <w:name w:val="pc"/>
    <w:basedOn w:val="a"/>
    <w:pPr>
      <w:jc w:val="center"/>
    </w:pPr>
    <w:rPr>
      <w:color w:val="000000"/>
    </w:rPr>
  </w:style>
  <w:style w:type="paragraph" w:customStyle="1" w:styleId="pr">
    <w:name w:val="pr"/>
    <w:basedOn w:val="a"/>
    <w:pPr>
      <w:jc w:val="right"/>
    </w:pPr>
    <w:rPr>
      <w:color w:val="000000"/>
    </w:rPr>
  </w:style>
  <w:style w:type="paragraph" w:customStyle="1" w:styleId="pj">
    <w:name w:val="pj"/>
    <w:basedOn w:val="a"/>
    <w:pPr>
      <w:ind w:firstLine="400"/>
      <w:jc w:val="both"/>
    </w:pPr>
    <w:rPr>
      <w:color w:val="000000"/>
    </w:rPr>
  </w:style>
  <w:style w:type="paragraph" w:customStyle="1" w:styleId="pji">
    <w:name w:val="pji"/>
    <w:basedOn w:val="a"/>
    <w:pPr>
      <w:jc w:val="both"/>
    </w:pPr>
    <w:rPr>
      <w:color w:val="000000"/>
    </w:rPr>
  </w:style>
  <w:style w:type="paragraph" w:customStyle="1" w:styleId="msochpdefault">
    <w:name w:val="msochpdefault"/>
    <w:basedOn w:val="a"/>
    <w:rPr>
      <w:color w:val="000000"/>
      <w:sz w:val="20"/>
      <w:szCs w:val="20"/>
    </w:rPr>
  </w:style>
  <w:style w:type="character" w:customStyle="1" w:styleId="s2">
    <w:name w:val="s2"/>
    <w:basedOn w:val="a0"/>
    <w:rPr>
      <w:rFonts w:ascii="Times New Roman" w:hAnsi="Times New Roman" w:cs="Times New Roman" w:hint="default"/>
      <w:color w:val="333399"/>
      <w:u w:val="single"/>
    </w:rPr>
  </w:style>
  <w:style w:type="character" w:customStyle="1" w:styleId="s1">
    <w:name w:val="s1"/>
    <w:basedOn w:val="a0"/>
    <w:rPr>
      <w:rFonts w:ascii="Times New Roman" w:hAnsi="Times New Roman" w:cs="Times New Roman" w:hint="default"/>
      <w:b/>
      <w:bCs/>
      <w:color w:val="000000"/>
    </w:r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Pr>
      <w:color w:val="800080"/>
      <w:u w:val="single"/>
    </w:rPr>
  </w:style>
  <w:style w:type="paragraph" w:customStyle="1" w:styleId="p">
    <w:name w:val="p"/>
    <w:basedOn w:val="a"/>
    <w:rPr>
      <w:color w:val="000000"/>
    </w:rPr>
  </w:style>
  <w:style w:type="paragraph" w:styleId="a6">
    <w:name w:val="Balloon Text"/>
    <w:basedOn w:val="a"/>
    <w:link w:val="a7"/>
    <w:uiPriority w:val="99"/>
    <w:semiHidden/>
    <w:unhideWhenUsed/>
    <w:rsid w:val="00736FB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6FBD"/>
    <w:rPr>
      <w:rFonts w:ascii="Tahoma" w:eastAsiaTheme="minorEastAsi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36FB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36FBD"/>
    <w:rPr>
      <w:rFonts w:eastAsiaTheme="minorEastAsia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736FB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36FBD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online.zakon.kz/Document/?doc_id=36148637" TargetMode="External"/><Relationship Id="rId18" Type="http://schemas.openxmlformats.org/officeDocument/2006/relationships/hyperlink" Target="http://online.zakon.kz/Document/?doc_id=36148637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20.jpeg"/><Relationship Id="rId21" Type="http://schemas.openxmlformats.org/officeDocument/2006/relationships/image" Target="media/image2.jpeg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header" Target="header2.xml"/><Relationship Id="rId7" Type="http://schemas.openxmlformats.org/officeDocument/2006/relationships/hyperlink" Target="http://online.zakon.kz/Document/?doc_id=39635390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online.zakon.kz/Document/?doc_id=36148637" TargetMode="External"/><Relationship Id="rId29" Type="http://schemas.openxmlformats.org/officeDocument/2006/relationships/image" Target="media/image10.jpeg"/><Relationship Id="rId11" Type="http://schemas.openxmlformats.org/officeDocument/2006/relationships/hyperlink" Target="http://online.zakon.kz/Document/?doc_id=33679560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image" Target="media/image34.jpeg"/><Relationship Id="rId58" Type="http://schemas.openxmlformats.org/officeDocument/2006/relationships/header" Target="header3.xml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hyperlink" Target="http://online.zakon.kz/Document/?doc_id=36148637" TargetMode="External"/><Relationship Id="rId14" Type="http://schemas.openxmlformats.org/officeDocument/2006/relationships/hyperlink" Target="http://online.zakon.kz/Document/?doc_id=36148637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openxmlformats.org/officeDocument/2006/relationships/footer" Target="footer1.xml"/><Relationship Id="rId8" Type="http://schemas.openxmlformats.org/officeDocument/2006/relationships/hyperlink" Target="http://online.zakon.kz/Document/?doc_id=38836358" TargetMode="External"/><Relationship Id="rId51" Type="http://schemas.openxmlformats.org/officeDocument/2006/relationships/image" Target="media/image32.jpeg"/><Relationship Id="rId3" Type="http://schemas.openxmlformats.org/officeDocument/2006/relationships/settings" Target="settings.xml"/><Relationship Id="rId12" Type="http://schemas.openxmlformats.org/officeDocument/2006/relationships/hyperlink" Target="http://online.zakon.kz/Document/?doc_id=36148637" TargetMode="External"/><Relationship Id="rId17" Type="http://schemas.openxmlformats.org/officeDocument/2006/relationships/hyperlink" Target="http://online.zakon.kz/Document/?doc_id=36148637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59" Type="http://schemas.openxmlformats.org/officeDocument/2006/relationships/footer" Target="footer3.xml"/><Relationship Id="rId20" Type="http://schemas.openxmlformats.org/officeDocument/2006/relationships/image" Target="media/image1.jpeg"/><Relationship Id="rId41" Type="http://schemas.openxmlformats.org/officeDocument/2006/relationships/image" Target="media/image22.jpeg"/><Relationship Id="rId54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hyperlink" Target="http://online.zakon.kz/Document/?doc_id=36148637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49" Type="http://schemas.openxmlformats.org/officeDocument/2006/relationships/image" Target="media/image30.jpeg"/><Relationship Id="rId57" Type="http://schemas.openxmlformats.org/officeDocument/2006/relationships/footer" Target="footer2.xml"/><Relationship Id="rId10" Type="http://schemas.openxmlformats.org/officeDocument/2006/relationships/hyperlink" Target="http://online.zakon.kz/Document/?doc_id=39635390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online.zakon.kz/Document/?doc_id=3963539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1094</Words>
  <Characters>6238</Characters>
  <Application>Microsoft Office Word</Application>
  <DocSecurity>0</DocSecurity>
  <Lines>51</Lines>
  <Paragraphs>14</Paragraphs>
  <ScaleCrop>false</ScaleCrop>
  <Company/>
  <LinksUpToDate>false</LinksUpToDate>
  <CharactersWithSpaces>7318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2025-12-11T20:18:00Z</dcterms:created>
  <dcterms:modified xsi:type="dcterms:W3CDTF">2025-12-11T20:18:00Z</dcterms:modified>
</cp:coreProperties>
</file>