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2B66">
      <w:pPr>
        <w:pStyle w:val="pr"/>
      </w:pPr>
      <w:bookmarkStart w:id="0" w:name="_GoBack"/>
      <w:bookmarkEnd w:id="0"/>
      <w:r>
        <w:rPr>
          <w:rStyle w:val="s0"/>
        </w:rPr>
        <w:t>05.12.2023</w:t>
      </w:r>
    </w:p>
    <w:p w:rsidR="00000000" w:rsidRDefault="00442B66">
      <w:pPr>
        <w:pStyle w:val="pc"/>
      </w:pPr>
      <w:r>
        <w:rPr>
          <w:rStyle w:val="s1"/>
        </w:rPr>
        <w:t>Введение ОПВР с 2024 года и реквизиты для их перечисления</w:t>
      </w:r>
    </w:p>
    <w:p w:rsidR="00000000" w:rsidRDefault="00442B66">
      <w:pPr>
        <w:pStyle w:val="pj"/>
      </w:pPr>
      <w:r>
        <w:rPr>
          <w:rStyle w:val="s0"/>
        </w:rPr>
        <w:t> </w:t>
      </w:r>
    </w:p>
    <w:p w:rsidR="00000000" w:rsidRDefault="00442B66">
      <w:pPr>
        <w:pStyle w:val="pj"/>
      </w:pPr>
      <w:hyperlink r:id="rId7" w:tgtFrame="_blank" w:history="1">
        <w:r>
          <w:rPr>
            <w:rStyle w:val="a4"/>
          </w:rPr>
          <w:t>ЕНПФ</w:t>
        </w:r>
      </w:hyperlink>
      <w:r>
        <w:rPr>
          <w:rStyle w:val="s0"/>
        </w:rPr>
        <w:t xml:space="preserve"> </w:t>
      </w:r>
      <w:r>
        <w:rPr>
          <w:rStyle w:val="s0"/>
        </w:rPr>
        <w:t>напоминает, что с 1 января 2024 года действующая накопительная система будет дополнена новой условно-накопительной компонентой - обязательные пенсионные взносы работодателя (ОПВР).</w:t>
      </w:r>
    </w:p>
    <w:p w:rsidR="00000000" w:rsidRDefault="00442B66">
      <w:pPr>
        <w:pStyle w:val="pj"/>
      </w:pPr>
      <w:r>
        <w:rPr>
          <w:rStyle w:val="s0"/>
        </w:rPr>
        <w:t>ОПВР будут перечисляться за счет собственных средств агента, лиц, имеющих и</w:t>
      </w:r>
      <w:r>
        <w:rPr>
          <w:rStyle w:val="s0"/>
        </w:rPr>
        <w:t>ную оплачиваемую работу (избранные, назначенные или утвержденные) и только за работников, родившихся после 1 января 1975 года. Величина ОПВР устанавливается от ежемесячного дохода работника, принимаемого для исчисления ОПВР:</w:t>
      </w:r>
    </w:p>
    <w:p w:rsidR="00000000" w:rsidRDefault="00442B66">
      <w:pPr>
        <w:pStyle w:val="pj"/>
      </w:pPr>
      <w:r>
        <w:rPr>
          <w:rStyle w:val="s0"/>
          <w:b/>
          <w:bCs/>
        </w:rPr>
        <w:t>- с 1 января 2024 года - в разм</w:t>
      </w:r>
      <w:r>
        <w:rPr>
          <w:rStyle w:val="s0"/>
          <w:b/>
          <w:bCs/>
        </w:rPr>
        <w:t>ере 1,5 процента;</w:t>
      </w:r>
    </w:p>
    <w:p w:rsidR="00000000" w:rsidRDefault="00442B66">
      <w:pPr>
        <w:pStyle w:val="pj"/>
      </w:pPr>
      <w:r>
        <w:rPr>
          <w:rStyle w:val="s0"/>
        </w:rPr>
        <w:t>- с 1 января 2025 года - в размере 2,5 процента;</w:t>
      </w:r>
    </w:p>
    <w:p w:rsidR="00000000" w:rsidRDefault="00442B66">
      <w:pPr>
        <w:pStyle w:val="pj"/>
      </w:pPr>
      <w:r>
        <w:rPr>
          <w:rStyle w:val="s0"/>
        </w:rPr>
        <w:t>- с 1 января 2026 года - в размере 3,5 процента;</w:t>
      </w:r>
    </w:p>
    <w:p w:rsidR="00000000" w:rsidRDefault="00442B66">
      <w:pPr>
        <w:pStyle w:val="pj"/>
      </w:pPr>
      <w:r>
        <w:rPr>
          <w:rStyle w:val="s0"/>
        </w:rPr>
        <w:t>- с 1 января 2027 года - в размере 4,5 процента;</w:t>
      </w:r>
    </w:p>
    <w:p w:rsidR="00000000" w:rsidRDefault="00442B66">
      <w:pPr>
        <w:pStyle w:val="pj"/>
      </w:pPr>
      <w:r>
        <w:rPr>
          <w:rStyle w:val="s0"/>
        </w:rPr>
        <w:t>- с 1 января 2028 года - в размере 5 процентов.</w:t>
      </w:r>
    </w:p>
    <w:p w:rsidR="00000000" w:rsidRDefault="00442B66">
      <w:pPr>
        <w:pStyle w:val="pj"/>
      </w:pPr>
      <w:r>
        <w:rPr>
          <w:rStyle w:val="s0"/>
        </w:rPr>
        <w:t>При этом, ежемесячный доход работника, прин</w:t>
      </w:r>
      <w:r>
        <w:rPr>
          <w:rStyle w:val="s0"/>
        </w:rPr>
        <w:t>имаемый для исчисления ОПВР, должен быть не менее МРЗП (минимальный размер заработной платы, установленной на соответствующий финансовый год законом о республиканском бюджете) и не должен превышать 50-кратный МРЗП, установленный на соответствующий финансов</w:t>
      </w:r>
      <w:r>
        <w:rPr>
          <w:rStyle w:val="s0"/>
        </w:rPr>
        <w:t>ый год законом о республиканском бюджете.</w:t>
      </w:r>
    </w:p>
    <w:p w:rsidR="00000000" w:rsidRDefault="00442B66">
      <w:pPr>
        <w:pStyle w:val="pj"/>
      </w:pPr>
      <w:r>
        <w:rPr>
          <w:rStyle w:val="s0"/>
        </w:rPr>
        <w:t xml:space="preserve">Для налоговых агентов, выбравших уплату ОПВР в составе единого платежа, указанных в </w:t>
      </w:r>
      <w:hyperlink r:id="rId8" w:anchor="sub_id=2510000" w:history="1">
        <w:r>
          <w:rPr>
            <w:rStyle w:val="a4"/>
          </w:rPr>
          <w:t>статье 251</w:t>
        </w:r>
      </w:hyperlink>
      <w:r>
        <w:rPr>
          <w:rStyle w:val="s0"/>
        </w:rPr>
        <w:t xml:space="preserve"> Социального кодекса, доля ОПВР в с</w:t>
      </w:r>
      <w:r>
        <w:rPr>
          <w:rStyle w:val="s0"/>
        </w:rPr>
        <w:t>тавке единого платежа с заработной платы составляет:</w:t>
      </w:r>
    </w:p>
    <w:p w:rsidR="00000000" w:rsidRDefault="00442B66">
      <w:pPr>
        <w:pStyle w:val="pj"/>
      </w:pPr>
      <w:r>
        <w:rPr>
          <w:rStyle w:val="s0"/>
          <w:b/>
          <w:bCs/>
        </w:rPr>
        <w:t>- с 1 января 2024 года - 7,0 процента;</w:t>
      </w:r>
    </w:p>
    <w:p w:rsidR="00000000" w:rsidRDefault="00442B66">
      <w:pPr>
        <w:pStyle w:val="pj"/>
      </w:pPr>
      <w:r>
        <w:rPr>
          <w:rStyle w:val="s0"/>
        </w:rPr>
        <w:t>- с 1 января 2025 года - 10,5 процента;</w:t>
      </w:r>
    </w:p>
    <w:p w:rsidR="00000000" w:rsidRDefault="00442B66">
      <w:pPr>
        <w:pStyle w:val="pj"/>
      </w:pPr>
      <w:r>
        <w:rPr>
          <w:rStyle w:val="s0"/>
        </w:rPr>
        <w:t>- с 1 января 2026 года - 14,1 процента;</w:t>
      </w:r>
    </w:p>
    <w:p w:rsidR="00000000" w:rsidRDefault="00442B66">
      <w:pPr>
        <w:pStyle w:val="pj"/>
      </w:pPr>
      <w:r>
        <w:rPr>
          <w:rStyle w:val="s0"/>
        </w:rPr>
        <w:t>- с 1 января 2027 года - 17,4 процента;</w:t>
      </w:r>
    </w:p>
    <w:p w:rsidR="00000000" w:rsidRDefault="00442B66">
      <w:pPr>
        <w:pStyle w:val="pj"/>
      </w:pPr>
      <w:r>
        <w:rPr>
          <w:rStyle w:val="s0"/>
        </w:rPr>
        <w:t>- с 1 января 2028 года - 19,0 процента.</w:t>
      </w:r>
    </w:p>
    <w:p w:rsidR="00000000" w:rsidRDefault="00442B66">
      <w:pPr>
        <w:pStyle w:val="pj"/>
      </w:pPr>
      <w:r>
        <w:rPr>
          <w:rStyle w:val="s0"/>
        </w:rPr>
        <w:t>Ниже</w:t>
      </w:r>
      <w:r>
        <w:rPr>
          <w:rStyle w:val="s0"/>
        </w:rPr>
        <w:t xml:space="preserve"> приводим реквизиты для перечисления ОПВР:</w:t>
      </w:r>
    </w:p>
    <w:p w:rsidR="00000000" w:rsidRDefault="00442B66">
      <w:pPr>
        <w:pStyle w:val="pj"/>
      </w:pPr>
      <w:r>
        <w:rPr>
          <w:rStyle w:val="s0"/>
        </w:rPr>
        <w:t>Перечисление обязательных пенсионных взносов работодателя (ОПВР) производится агентом путем безналичных платежей.</w:t>
      </w:r>
    </w:p>
    <w:p w:rsidR="00000000" w:rsidRDefault="00442B66">
      <w:pPr>
        <w:pStyle w:val="pj"/>
      </w:pPr>
      <w:r>
        <w:rPr>
          <w:rStyle w:val="s0"/>
        </w:rPr>
        <w:t>Лица, занимающиеся ЧП, ИП, не имеющие счетов в банках и организациях, осуществляющих отдельные виды</w:t>
      </w:r>
      <w:r>
        <w:rPr>
          <w:rStyle w:val="s0"/>
        </w:rPr>
        <w:t xml:space="preserve"> банковских операций (далее - банки), вносят ОПВР в ЕНПФ наличными деньгами в банк для их последующего перечисления в ЕНПФ.</w:t>
      </w:r>
    </w:p>
    <w:p w:rsidR="00000000" w:rsidRDefault="00442B66">
      <w:pPr>
        <w:pStyle w:val="pj"/>
      </w:pPr>
      <w:r>
        <w:rPr>
          <w:rStyle w:val="s0"/>
        </w:rPr>
        <w:t> </w:t>
      </w:r>
    </w:p>
    <w:p w:rsidR="00000000" w:rsidRDefault="00442B66">
      <w:pPr>
        <w:pStyle w:val="pj"/>
      </w:pPr>
      <w:r>
        <w:rPr>
          <w:rStyle w:val="s0"/>
          <w:b/>
          <w:bCs/>
        </w:rPr>
        <w:t>Удержанные (начисленные) ОПВР перечисляются в Государственную корпорацию по следующим реквизитам: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7423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  <w:b/>
                <w:bCs/>
              </w:rPr>
              <w:t>Наименование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  <w:b/>
                <w:bCs/>
              </w:rPr>
              <w:t>Реквизиты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Бенефициар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НАО «Государственная корпорация «Правительство для граждан»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Банк бенефициара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НАО «Государственная корпорация «Правительство для граждан»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БИК бенефициара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GCVPKZ2A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ИИК бенефициара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KZ12009NPS0413609816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БИН бенефициара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160440007161</w:t>
            </w:r>
          </w:p>
        </w:tc>
      </w:tr>
    </w:tbl>
    <w:p w:rsidR="00000000" w:rsidRDefault="00442B66">
      <w:pPr>
        <w:pStyle w:val="pj"/>
      </w:pPr>
      <w:r>
        <w:rPr>
          <w:rStyle w:val="s0"/>
        </w:rPr>
        <w:t> </w:t>
      </w:r>
    </w:p>
    <w:p w:rsidR="00000000" w:rsidRDefault="00442B66">
      <w:pPr>
        <w:pStyle w:val="pj"/>
      </w:pPr>
      <w:r>
        <w:rPr>
          <w:rStyle w:val="s0"/>
          <w:b/>
          <w:bCs/>
        </w:rPr>
        <w:t>Коды назначения платежей (КНП)::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8495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  <w:b/>
                <w:bCs/>
              </w:rPr>
              <w:t>КНП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  <w:b/>
                <w:bCs/>
              </w:rPr>
              <w:t>Наименование кода назначения платежа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КНП 089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Обязательные пенсионные взносы работодателя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КНП 098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2B66">
            <w:pPr>
              <w:pStyle w:val="pj"/>
            </w:pPr>
            <w:r>
              <w:rPr>
                <w:rStyle w:val="s0"/>
              </w:rPr>
              <w:t>Пеня за несвоевременное перечисление обязательных пенсионных взносов работодателя</w:t>
            </w:r>
          </w:p>
        </w:tc>
      </w:tr>
    </w:tbl>
    <w:p w:rsidR="00000000" w:rsidRDefault="00442B66">
      <w:pPr>
        <w:pStyle w:val="pj"/>
      </w:pPr>
      <w:r>
        <w:rPr>
          <w:rStyle w:val="s0"/>
        </w:rPr>
        <w:t> </w:t>
      </w:r>
    </w:p>
    <w:p w:rsidR="00000000" w:rsidRDefault="00442B66">
      <w:pPr>
        <w:pStyle w:val="pj"/>
      </w:pPr>
      <w:r>
        <w:rPr>
          <w:rStyle w:val="s0"/>
        </w:rPr>
        <w:t> </w:t>
      </w:r>
    </w:p>
    <w:p w:rsidR="00000000" w:rsidRDefault="00442B66">
      <w:pPr>
        <w:pStyle w:val="p"/>
      </w:pPr>
      <w:r>
        <w:t> </w:t>
      </w:r>
    </w:p>
    <w:p w:rsidR="00000000" w:rsidRDefault="00442B66">
      <w:pPr>
        <w:pStyle w:val="p"/>
      </w:pPr>
      <w:r>
        <w:rPr>
          <w:sz w:val="20"/>
          <w:szCs w:val="20"/>
        </w:rPr>
        <w:t> </w:t>
      </w:r>
    </w:p>
    <w:p w:rsidR="00000000" w:rsidRDefault="00442B66">
      <w:pPr>
        <w:pStyle w:val="p"/>
      </w:pPr>
      <w:r>
        <w:rPr>
          <w:sz w:val="20"/>
          <w:szCs w:val="20"/>
        </w:rPr>
        <w:t>Источник: АО «ЕНПФ» (</w:t>
      </w:r>
      <w:hyperlink r:id="rId9" w:tgtFrame="_blank" w:history="1">
        <w:r>
          <w:rPr>
            <w:rStyle w:val="a4"/>
            <w:sz w:val="20"/>
            <w:szCs w:val="20"/>
          </w:rPr>
          <w:t>https://www.enpf.kz/kz/</w:t>
        </w:r>
      </w:hyperlink>
      <w:r>
        <w:rPr>
          <w:sz w:val="20"/>
          <w:szCs w:val="20"/>
        </w:rPr>
        <w:t>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66" w:rsidRDefault="00442B66" w:rsidP="00442B66">
      <w:r>
        <w:separator/>
      </w:r>
    </w:p>
  </w:endnote>
  <w:endnote w:type="continuationSeparator" w:id="0">
    <w:p w:rsidR="00442B66" w:rsidRDefault="00442B66" w:rsidP="0044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66" w:rsidRDefault="00442B66" w:rsidP="00442B66">
      <w:r>
        <w:separator/>
      </w:r>
    </w:p>
  </w:footnote>
  <w:footnote w:type="continuationSeparator" w:id="0">
    <w:p w:rsidR="00442B66" w:rsidRDefault="00442B66" w:rsidP="0044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 w:rsidP="00442B6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2B66" w:rsidRPr="00442B66" w:rsidRDefault="00442B66" w:rsidP="00442B6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Введение ОПВР с 2024 года и реквизиты для их перечисления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66" w:rsidRDefault="00442B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2B66"/>
    <w:rsid w:val="0044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42B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B6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2B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2B6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42B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B6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2B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2B6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49259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npf.kz/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pf.kz/k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2025-07-06T04:45:00Z</dcterms:created>
  <dcterms:modified xsi:type="dcterms:W3CDTF">2025-07-06T04:45:00Z</dcterms:modified>
</cp:coreProperties>
</file>