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37D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30 июля 2018 года № 162 «Об утверждении перечня, форм, сроков отчетности организаций, осуществляющих управление инвестиционным портфелем, брокерскую и (или) дилерскую деятельность на рынке</w:t>
      </w:r>
      <w:r>
        <w:rPr>
          <w:rStyle w:val="s0"/>
          <w:rFonts w:eastAsia="Times New Roman"/>
          <w:b/>
          <w:bCs/>
        </w:rPr>
        <w:t xml:space="preserve"> ценных бумаг Республики Казахстан и Правил их представления» (утратило силу)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3537D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537DC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сентября 2018 2018 года под № 17370</w:t>
      </w:r>
    </w:p>
    <w:p w:rsidR="00000000" w:rsidRDefault="003537DC">
      <w:pPr>
        <w:ind w:firstLine="397"/>
        <w:jc w:val="both"/>
      </w:pPr>
      <w:r>
        <w:rPr>
          <w:rStyle w:val="s0"/>
        </w:rPr>
        <w:t> </w:t>
      </w:r>
    </w:p>
    <w:p w:rsidR="00000000" w:rsidRDefault="003537D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651/rus" w:history="1">
        <w:r>
          <w:rPr>
            <w:rStyle w:val="a4"/>
          </w:rPr>
          <w:t>ИС «Эталонный контрольный банк НПА РК в электронном виде» 25 сентября 2018 г</w:t>
        </w:r>
      </w:hyperlink>
      <w:r>
        <w:rPr>
          <w:rStyle w:val="s0"/>
        </w:rPr>
        <w:t>.; «Казахстанская правда» от 15 октября 2018 г. № 196 (28825)</w:t>
      </w:r>
    </w:p>
    <w:p w:rsidR="00000000" w:rsidRDefault="003537DC">
      <w:pPr>
        <w:ind w:firstLine="397"/>
        <w:jc w:val="both"/>
      </w:pPr>
      <w:r>
        <w:rPr>
          <w:rStyle w:val="s0"/>
        </w:rPr>
        <w:t> </w:t>
      </w:r>
    </w:p>
    <w:p w:rsidR="00000000" w:rsidRDefault="003537DC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8" w:anchor="sub_id=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26 ноября 2019 года № 211</w:t>
      </w:r>
    </w:p>
    <w:p w:rsidR="00000000" w:rsidRDefault="003537DC">
      <w:pPr>
        <w:ind w:firstLine="397"/>
        <w:jc w:val="both"/>
      </w:pPr>
      <w:r>
        <w:t> </w:t>
      </w:r>
    </w:p>
    <w:p w:rsidR="00000000" w:rsidRDefault="003537D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7DC" w:rsidRDefault="003537DC" w:rsidP="003537DC">
      <w:r>
        <w:separator/>
      </w:r>
    </w:p>
  </w:endnote>
  <w:endnote w:type="continuationSeparator" w:id="0">
    <w:p w:rsidR="003537DC" w:rsidRDefault="003537DC" w:rsidP="00353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7DC" w:rsidRDefault="003537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7DC" w:rsidRDefault="003537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7DC" w:rsidRDefault="003537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7DC" w:rsidRDefault="003537DC" w:rsidP="003537DC">
      <w:r>
        <w:separator/>
      </w:r>
    </w:p>
  </w:footnote>
  <w:footnote w:type="continuationSeparator" w:id="0">
    <w:p w:rsidR="003537DC" w:rsidRDefault="003537DC" w:rsidP="00353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7DC" w:rsidRDefault="003537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7DC" w:rsidRDefault="003537DC" w:rsidP="00353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7DC" w:rsidRPr="003537DC" w:rsidRDefault="003537DC" w:rsidP="00353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июля 2018 года № 162 «Об утверждении перечня, форм, сроков отчетности организаций, осуществляющих управление инвестиционным портфелем, брокерскую и (или) дилерскую деятельность на рынке ценных бумаг Республики Казахстан и Правил их представления» (утратило силу)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7DC" w:rsidRDefault="003537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7DC"/>
    <w:rsid w:val="0035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3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37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3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37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3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37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3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37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28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837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июля 2018 года № 162 «Об утверждении перечня, форм, сроков отчетности организаций, осуществляющих управление инвестиционным портфелем, брокерскую и (или) дилерскую деятельность на рынке ценных бумаг Республики Казахстан и Правил их представления» (утратило силу)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2023-09-15T16:01:00Z</dcterms:created>
  <dcterms:modified xsi:type="dcterms:W3CDTF">2023-09-15T16:01:00Z</dcterms:modified>
</cp:coreProperties>
</file>