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466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27811-2016 «Автогудронаторы. Общие технические условия»</w:t>
      </w:r>
    </w:p>
    <w:p w:rsidR="00000000" w:rsidRDefault="008A466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A4668">
      <w:pPr>
        <w:ind w:firstLine="400"/>
        <w:jc w:val="both"/>
      </w:pPr>
      <w:r>
        <w:rPr>
          <w:rStyle w:val="s0"/>
        </w:rPr>
        <w:t xml:space="preserve">Введен в действие на территории Республики Казахстан с 1 июля 2017 года с установлением переходного периода для </w:t>
      </w:r>
      <w:hyperlink r:id="rId7" w:history="1">
        <w:r>
          <w:rPr>
            <w:rStyle w:val="a3"/>
          </w:rPr>
          <w:t>ГОСТ 27811-95</w:t>
        </w:r>
      </w:hyperlink>
      <w:r>
        <w:rPr>
          <w:rStyle w:val="s2"/>
        </w:rPr>
        <w:t xml:space="preserve"> </w:t>
      </w:r>
      <w:r>
        <w:rPr>
          <w:rStyle w:val="s0"/>
        </w:rPr>
        <w:t>до 01.07.2018 г. (</w:t>
      </w:r>
      <w:hyperlink r:id="rId8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по инвестициям и развитию Республики Казахстан от 29 мая 2017 года № 145-од)</w:t>
      </w:r>
    </w:p>
    <w:p w:rsidR="00000000" w:rsidRDefault="008A4668">
      <w:pPr>
        <w:autoSpaceDE w:val="0"/>
        <w:autoSpaceDN w:val="0"/>
        <w:ind w:firstLine="397"/>
        <w:jc w:val="both"/>
      </w:pPr>
      <w:r>
        <w:rPr>
          <w:color w:val="auto"/>
        </w:rPr>
        <w:t> </w:t>
      </w:r>
    </w:p>
    <w:p w:rsidR="00000000" w:rsidRDefault="008A4668">
      <w:pPr>
        <w:autoSpaceDE w:val="0"/>
        <w:autoSpaceDN w:val="0"/>
        <w:ind w:firstLine="397"/>
        <w:jc w:val="both"/>
      </w:pPr>
      <w:r>
        <w:t> </w:t>
      </w:r>
    </w:p>
    <w:p w:rsidR="00000000" w:rsidRDefault="008A4668">
      <w:pPr>
        <w:autoSpaceDE w:val="0"/>
        <w:autoSpaceDN w:val="0"/>
        <w:ind w:firstLine="397"/>
        <w:jc w:val="center"/>
      </w:pPr>
      <w:r>
        <w:rPr>
          <w:b/>
          <w:bCs/>
          <w:color w:val="26282F"/>
        </w:rPr>
        <w:t>Сведения о</w:t>
      </w:r>
      <w:r>
        <w:rPr>
          <w:b/>
          <w:bCs/>
          <w:color w:val="26282F"/>
        </w:rPr>
        <w:t xml:space="preserve"> стандарте</w:t>
      </w:r>
    </w:p>
    <w:p w:rsidR="00000000" w:rsidRDefault="008A4668">
      <w:pPr>
        <w:autoSpaceDE w:val="0"/>
        <w:autoSpaceDN w:val="0"/>
        <w:ind w:firstLine="397"/>
        <w:jc w:val="both"/>
      </w:pPr>
      <w:r>
        <w:rPr>
          <w:color w:val="auto"/>
        </w:rPr>
        <w:t> </w:t>
      </w:r>
    </w:p>
    <w:p w:rsidR="00000000" w:rsidRDefault="008A4668">
      <w:pPr>
        <w:autoSpaceDE w:val="0"/>
        <w:autoSpaceDN w:val="0"/>
        <w:ind w:firstLine="397"/>
        <w:jc w:val="both"/>
      </w:pPr>
      <w:r>
        <w:rPr>
          <w:color w:val="auto"/>
        </w:rPr>
        <w:t>1 Разработан Обществом с ограниченной ответственностью «ИЦ «ЦНИП СДМ» (ООО «ИЦ «ЦНИП СДМ»)</w:t>
      </w:r>
    </w:p>
    <w:p w:rsidR="00000000" w:rsidRDefault="008A4668">
      <w:pPr>
        <w:autoSpaceDE w:val="0"/>
        <w:autoSpaceDN w:val="0"/>
        <w:ind w:firstLine="397"/>
        <w:jc w:val="both"/>
      </w:pPr>
      <w:r>
        <w:rPr>
          <w:color w:val="auto"/>
        </w:rPr>
        <w:t>2 Внесен Межгосударственным Техническим комитетом по стандартизации МТК 267 «Строительно-дорожные машины и оборудование»</w:t>
      </w:r>
    </w:p>
    <w:p w:rsidR="00000000" w:rsidRDefault="008A4668">
      <w:pPr>
        <w:autoSpaceDE w:val="0"/>
        <w:autoSpaceDN w:val="0"/>
        <w:ind w:firstLine="397"/>
        <w:jc w:val="both"/>
      </w:pPr>
      <w:r>
        <w:rPr>
          <w:color w:val="auto"/>
        </w:rPr>
        <w:t>3 Принят Межгосударственным сов</w:t>
      </w:r>
      <w:r>
        <w:rPr>
          <w:color w:val="auto"/>
        </w:rPr>
        <w:t>етом по стандартизации, метрологии и сертификации (протокол от 29 февраля 2016 г. № 85-П)</w:t>
      </w:r>
    </w:p>
    <w:p w:rsidR="00000000" w:rsidRDefault="008A4668">
      <w:pPr>
        <w:autoSpaceDE w:val="0"/>
        <w:autoSpaceDN w:val="0"/>
        <w:ind w:firstLine="397"/>
        <w:jc w:val="both"/>
      </w:pPr>
      <w:r>
        <w:rPr>
          <w:color w:val="auto"/>
        </w:rPr>
        <w:t>За принятие проголосовали:</w:t>
      </w:r>
    </w:p>
    <w:p w:rsidR="00000000" w:rsidRDefault="008A4668">
      <w:pPr>
        <w:autoSpaceDE w:val="0"/>
        <w:autoSpaceDN w:val="0"/>
        <w:ind w:firstLine="397"/>
        <w:jc w:val="both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2306"/>
        <w:gridCol w:w="4709"/>
      </w:tblGrid>
      <w:tr w:rsidR="00000000">
        <w:tc>
          <w:tcPr>
            <w:tcW w:w="13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Краткое наименование страны по МК (ИСО 3166) 004-97</w:t>
            </w:r>
          </w:p>
        </w:tc>
        <w:tc>
          <w:tcPr>
            <w:tcW w:w="12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Код страны по</w:t>
            </w:r>
          </w:p>
          <w:p w:rsidR="00000000" w:rsidRDefault="008A46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МК (ИСО 3166) 004-97</w:t>
            </w:r>
          </w:p>
        </w:tc>
        <w:tc>
          <w:tcPr>
            <w:tcW w:w="24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both"/>
            </w:pPr>
            <w:r>
              <w:rPr>
                <w:color w:val="auto"/>
              </w:rPr>
              <w:t>Армения</w:t>
            </w:r>
          </w:p>
        </w:tc>
        <w:tc>
          <w:tcPr>
            <w:tcW w:w="1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AM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both"/>
            </w:pPr>
            <w:r>
              <w:rPr>
                <w:color w:val="auto"/>
              </w:rPr>
              <w:t>Минэкономики Республики Армения</w:t>
            </w:r>
          </w:p>
        </w:tc>
      </w:tr>
      <w:tr w:rsidR="00000000">
        <w:tc>
          <w:tcPr>
            <w:tcW w:w="1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both"/>
            </w:pPr>
            <w:r>
              <w:rPr>
                <w:color w:val="auto"/>
              </w:rPr>
              <w:t>Беларусь</w:t>
            </w:r>
          </w:p>
        </w:tc>
        <w:tc>
          <w:tcPr>
            <w:tcW w:w="1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BY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both"/>
            </w:pPr>
            <w:r>
              <w:rPr>
                <w:color w:val="auto"/>
              </w:rPr>
              <w:t>Госстандарт Республики Беларусь</w:t>
            </w:r>
          </w:p>
        </w:tc>
      </w:tr>
      <w:tr w:rsidR="00000000">
        <w:tc>
          <w:tcPr>
            <w:tcW w:w="1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both"/>
            </w:pPr>
            <w:r>
              <w:rPr>
                <w:color w:val="auto"/>
              </w:rPr>
              <w:t>Казахстан</w:t>
            </w:r>
          </w:p>
        </w:tc>
        <w:tc>
          <w:tcPr>
            <w:tcW w:w="1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KZ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both"/>
            </w:pPr>
            <w:r>
              <w:rPr>
                <w:color w:val="auto"/>
              </w:rPr>
              <w:t>Госстандарт Республики Казахстан</w:t>
            </w:r>
          </w:p>
        </w:tc>
      </w:tr>
      <w:tr w:rsidR="00000000">
        <w:tc>
          <w:tcPr>
            <w:tcW w:w="1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both"/>
            </w:pPr>
            <w:r>
              <w:rPr>
                <w:color w:val="auto"/>
              </w:rPr>
              <w:t>Киргизия</w:t>
            </w:r>
          </w:p>
        </w:tc>
        <w:tc>
          <w:tcPr>
            <w:tcW w:w="1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KG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both"/>
            </w:pPr>
            <w:r>
              <w:rPr>
                <w:color w:val="auto"/>
              </w:rPr>
              <w:t>Кыргызстандарт</w:t>
            </w:r>
          </w:p>
        </w:tc>
      </w:tr>
      <w:tr w:rsidR="00000000">
        <w:tc>
          <w:tcPr>
            <w:tcW w:w="1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both"/>
            </w:pPr>
            <w:r>
              <w:rPr>
                <w:color w:val="auto"/>
              </w:rPr>
              <w:t>Россия</w:t>
            </w:r>
          </w:p>
        </w:tc>
        <w:tc>
          <w:tcPr>
            <w:tcW w:w="1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RU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both"/>
            </w:pPr>
            <w:r>
              <w:rPr>
                <w:color w:val="auto"/>
              </w:rPr>
              <w:t>Росстандарт</w:t>
            </w:r>
          </w:p>
        </w:tc>
      </w:tr>
      <w:tr w:rsidR="00000000">
        <w:tc>
          <w:tcPr>
            <w:tcW w:w="1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both"/>
            </w:pPr>
            <w:r>
              <w:rPr>
                <w:color w:val="auto"/>
              </w:rPr>
              <w:t>Таджикистан</w:t>
            </w:r>
          </w:p>
        </w:tc>
        <w:tc>
          <w:tcPr>
            <w:tcW w:w="1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TJ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668">
            <w:pPr>
              <w:autoSpaceDE w:val="0"/>
              <w:autoSpaceDN w:val="0"/>
              <w:jc w:val="both"/>
            </w:pPr>
            <w:r>
              <w:rPr>
                <w:color w:val="auto"/>
              </w:rPr>
              <w:t>Таджикстандарт</w:t>
            </w:r>
          </w:p>
        </w:tc>
      </w:tr>
    </w:tbl>
    <w:p w:rsidR="00000000" w:rsidRDefault="008A4668">
      <w:pPr>
        <w:autoSpaceDE w:val="0"/>
        <w:autoSpaceDN w:val="0"/>
        <w:ind w:firstLine="397"/>
        <w:jc w:val="both"/>
      </w:pPr>
      <w:r>
        <w:rPr>
          <w:color w:val="auto"/>
        </w:rPr>
        <w:t> </w:t>
      </w:r>
    </w:p>
    <w:p w:rsidR="00000000" w:rsidRDefault="008A4668">
      <w:pPr>
        <w:autoSpaceDE w:val="0"/>
        <w:autoSpaceDN w:val="0"/>
        <w:ind w:firstLine="397"/>
        <w:jc w:val="both"/>
      </w:pPr>
      <w:r>
        <w:rPr>
          <w:color w:val="auto"/>
        </w:rPr>
        <w:t>4 Настоящий стандарт может быть использован при ежегодной актуализации перечня стандартов, содержащих правила и методы исследований (испытаний), а также стандартов, в результате применения которых на добровольной основе обеспечивается соблюдение требований</w:t>
      </w:r>
      <w:r>
        <w:rPr>
          <w:color w:val="auto"/>
        </w:rPr>
        <w:t xml:space="preserve"> технического регламента Таможенного союза «О безопасности машин и оборудования» и «О безопасности колесных транспортных средств»</w:t>
      </w:r>
    </w:p>
    <w:p w:rsidR="00000000" w:rsidRDefault="008A4668">
      <w:pPr>
        <w:autoSpaceDE w:val="0"/>
        <w:autoSpaceDN w:val="0"/>
        <w:ind w:firstLine="397"/>
        <w:jc w:val="both"/>
      </w:pPr>
      <w:r>
        <w:rPr>
          <w:color w:val="auto"/>
        </w:rPr>
        <w:t xml:space="preserve">5 Взамен </w:t>
      </w:r>
      <w:hyperlink r:id="rId9" w:history="1">
        <w:r>
          <w:rPr>
            <w:rStyle w:val="a3"/>
          </w:rPr>
          <w:t>ГОСТ 27811-95</w:t>
        </w:r>
      </w:hyperlink>
    </w:p>
    <w:p w:rsidR="00000000" w:rsidRDefault="008A4668">
      <w:pPr>
        <w:autoSpaceDE w:val="0"/>
        <w:autoSpaceDN w:val="0"/>
        <w:ind w:firstLine="397"/>
        <w:jc w:val="both"/>
      </w:pPr>
      <w:r>
        <w:rPr>
          <w:color w:val="auto"/>
        </w:rPr>
        <w:t> </w:t>
      </w:r>
    </w:p>
    <w:p w:rsidR="00000000" w:rsidRDefault="008A466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668" w:rsidRDefault="008A4668" w:rsidP="008A4668">
      <w:r>
        <w:separator/>
      </w:r>
    </w:p>
  </w:endnote>
  <w:endnote w:type="continuationSeparator" w:id="0">
    <w:p w:rsidR="008A4668" w:rsidRDefault="008A4668" w:rsidP="008A4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68" w:rsidRDefault="008A46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68" w:rsidRDefault="008A46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68" w:rsidRDefault="008A46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668" w:rsidRDefault="008A4668" w:rsidP="008A4668">
      <w:r>
        <w:separator/>
      </w:r>
    </w:p>
  </w:footnote>
  <w:footnote w:type="continuationSeparator" w:id="0">
    <w:p w:rsidR="008A4668" w:rsidRDefault="008A4668" w:rsidP="008A4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68" w:rsidRDefault="008A46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68" w:rsidRDefault="008A4668" w:rsidP="008A46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4668" w:rsidRPr="008A4668" w:rsidRDefault="008A4668" w:rsidP="008A46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27811-2016 «Автогудронаторы. Общие технические условия»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68" w:rsidRDefault="008A46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4668"/>
    <w:rsid w:val="008A4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46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46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46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46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46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46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46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46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067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323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1323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1543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27811-2016 «Автогудронаторы. Общие технические условия»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2024-07-13T22:41:00Z</dcterms:created>
  <dcterms:modified xsi:type="dcterms:W3CDTF">2024-07-13T22:41:00Z</dcterms:modified>
</cp:coreProperties>
</file>