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194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31 декабря 2019 года № 275 «Об утверждении перечня, форм, сроков представления отчетности страховой (перестраховочной) организацией и страховым брокером и Правил ее представления» (с измен</w:t>
      </w:r>
      <w:r>
        <w:rPr>
          <w:rStyle w:val="s0"/>
          <w:b/>
          <w:bCs/>
        </w:rPr>
        <w:t>ениями по состоянию на 19.01.2025 г.)</w:t>
      </w:r>
    </w:p>
    <w:p w:rsidR="00000000" w:rsidRDefault="0098194E">
      <w:pPr>
        <w:pStyle w:val="pj"/>
      </w:pPr>
      <w:r>
        <w:rPr>
          <w:rStyle w:val="s0"/>
        </w:rPr>
        <w:t> </w:t>
      </w:r>
    </w:p>
    <w:p w:rsidR="00000000" w:rsidRDefault="0098194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января 2020 года под № 19927</w:t>
      </w:r>
    </w:p>
    <w:p w:rsidR="00000000" w:rsidRDefault="0098194E">
      <w:pPr>
        <w:pStyle w:val="pj"/>
      </w:pPr>
      <w:r>
        <w:rPr>
          <w:rStyle w:val="s0"/>
        </w:rPr>
        <w:t> </w:t>
      </w:r>
    </w:p>
    <w:p w:rsidR="00000000" w:rsidRDefault="0098194E">
      <w:pPr>
        <w:pStyle w:val="pj"/>
      </w:pPr>
      <w:r>
        <w:rPr>
          <w:rStyle w:val="s0"/>
        </w:rPr>
        <w:t xml:space="preserve">Опубликовано: </w:t>
      </w:r>
      <w:hyperlink r:id="rId7" w:anchor="!/doc/139070/rus" w:history="1">
        <w:r>
          <w:rPr>
            <w:rStyle w:val="a4"/>
          </w:rPr>
          <w:t>ИС «Эталонный контрольный банк НПА РК в электронном виде» 29 января 2020</w:t>
        </w:r>
      </w:hyperlink>
      <w:r>
        <w:rPr>
          <w:rStyle w:val="s0"/>
        </w:rPr>
        <w:t xml:space="preserve"> г.</w:t>
      </w:r>
    </w:p>
    <w:p w:rsidR="00000000" w:rsidRDefault="0098194E">
      <w:pPr>
        <w:pStyle w:val="pj"/>
      </w:pPr>
      <w:r>
        <w:rPr>
          <w:rStyle w:val="s0"/>
        </w:rPr>
        <w:t> </w:t>
      </w:r>
    </w:p>
    <w:p w:rsidR="00000000" w:rsidRDefault="0098194E">
      <w:pPr>
        <w:pStyle w:val="pj"/>
      </w:pPr>
      <w:r>
        <w:rPr>
          <w:rStyle w:val="s0"/>
        </w:rPr>
        <w:t>Внесены изменения:</w:t>
      </w:r>
    </w:p>
    <w:p w:rsidR="00000000" w:rsidRDefault="0098194E">
      <w:pPr>
        <w:pStyle w:val="pj"/>
      </w:pPr>
      <w:r>
        <w:rPr>
          <w:rStyle w:val="s0"/>
        </w:rPr>
        <w:t> </w:t>
      </w:r>
    </w:p>
    <w:p w:rsidR="00000000" w:rsidRDefault="0098194E">
      <w:pPr>
        <w:pStyle w:val="pj"/>
      </w:pPr>
      <w:hyperlink r:id="rId8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20.07.20 г. № 93 (введено</w:t>
      </w:r>
      <w:r>
        <w:rPr>
          <w:rStyle w:val="s0"/>
        </w:rPr>
        <w:t xml:space="preserve">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8194E">
      <w:pPr>
        <w:pStyle w:val="pj"/>
      </w:pPr>
      <w:hyperlink r:id="rId10" w:anchor="sub_id=800" w:history="1">
        <w:r>
          <w:rPr>
            <w:rStyle w:val="a4"/>
          </w:rPr>
          <w:t>постановле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Правления Национального Банка РК от 22.02.21 г. № 11 (введено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8194E">
      <w:pPr>
        <w:pStyle w:val="pj"/>
      </w:pPr>
      <w:hyperlink r:id="rId12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28.02.22 г. № 15 (введено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8194E">
      <w:pPr>
        <w:pStyle w:val="pj"/>
      </w:pPr>
      <w:hyperlink r:id="rId1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23.01.23 г. № 3 (</w:t>
      </w:r>
      <w:hyperlink r:id="rId15" w:anchor="sub_id=5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января 2023 г.);</w:t>
      </w:r>
    </w:p>
    <w:p w:rsidR="00000000" w:rsidRDefault="0098194E">
      <w:pPr>
        <w:pStyle w:val="pj"/>
      </w:pPr>
      <w:hyperlink r:id="rId16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24.12.24 г. № 81 (</w:t>
      </w:r>
      <w:hyperlink r:id="rId17" w:anchor="sub_id=5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19 января 2025 г.)</w:t>
      </w:r>
    </w:p>
    <w:p w:rsidR="00000000" w:rsidRDefault="0098194E">
      <w:pPr>
        <w:pStyle w:val="pj"/>
      </w:pPr>
      <w:r>
        <w:rPr>
          <w:rStyle w:val="s0"/>
        </w:rPr>
        <w:t> </w:t>
      </w:r>
    </w:p>
    <w:p w:rsidR="00000000" w:rsidRDefault="0098194E">
      <w:pPr>
        <w:pStyle w:val="pj"/>
      </w:pPr>
      <w:r>
        <w:rPr>
          <w:rStyle w:val="s0"/>
        </w:rPr>
        <w:t>Предыдущие редакции:</w:t>
      </w:r>
    </w:p>
    <w:p w:rsidR="00000000" w:rsidRDefault="0098194E">
      <w:pPr>
        <w:pStyle w:val="pj"/>
      </w:pPr>
      <w:r>
        <w:rPr>
          <w:rStyle w:val="s0"/>
        </w:rPr>
        <w:t> </w:t>
      </w:r>
    </w:p>
    <w:p w:rsidR="00000000" w:rsidRDefault="0098194E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20.07.20 г.</w:t>
      </w:r>
    </w:p>
    <w:p w:rsidR="00000000" w:rsidRDefault="0098194E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22.02.21 г.</w:t>
      </w:r>
    </w:p>
    <w:p w:rsidR="00000000" w:rsidRDefault="0098194E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28.02.22 г.</w:t>
      </w:r>
    </w:p>
    <w:p w:rsidR="00000000" w:rsidRDefault="0098194E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23.01.23 г.</w:t>
      </w:r>
    </w:p>
    <w:p w:rsidR="00000000" w:rsidRDefault="0098194E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24.12.24 г. </w:t>
      </w:r>
    </w:p>
    <w:p w:rsidR="00000000" w:rsidRDefault="0098194E">
      <w:pPr>
        <w:pStyle w:val="pj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194E" w:rsidRDefault="0098194E" w:rsidP="0098194E">
      <w:r>
        <w:separator/>
      </w:r>
    </w:p>
  </w:endnote>
  <w:endnote w:type="continuationSeparator" w:id="0">
    <w:p w:rsidR="0098194E" w:rsidRDefault="0098194E" w:rsidP="009819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94E" w:rsidRDefault="009819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94E" w:rsidRDefault="009819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94E" w:rsidRDefault="009819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194E" w:rsidRDefault="0098194E" w:rsidP="0098194E">
      <w:r>
        <w:separator/>
      </w:r>
    </w:p>
  </w:footnote>
  <w:footnote w:type="continuationSeparator" w:id="0">
    <w:p w:rsidR="0098194E" w:rsidRDefault="0098194E" w:rsidP="009819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94E" w:rsidRDefault="009819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94E" w:rsidRDefault="0098194E" w:rsidP="009819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194E" w:rsidRPr="0098194E" w:rsidRDefault="0098194E" w:rsidP="009819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31 декабря 2019 года № 275 «Об утверждении перечня, форм, сроков представления отчетности страховой (перестраховочной) организацией и страховым брокером и Правил ее представления» (с изменениями по состоянию на 19.01.2025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194E" w:rsidRDefault="009819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194E"/>
    <w:rsid w:val="00981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19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19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19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19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819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819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819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819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45457" TargetMode="External"/><Relationship Id="rId13" Type="http://schemas.openxmlformats.org/officeDocument/2006/relationships/hyperlink" Target="http://online.zakon.kz/Document/?doc_id=34650261" TargetMode="External"/><Relationship Id="rId18" Type="http://schemas.openxmlformats.org/officeDocument/2006/relationships/hyperlink" Target="http://online.zakon.kz/Document/?doc_id=34297488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079321" TargetMode="Externa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9051269" TargetMode="External"/><Relationship Id="rId17" Type="http://schemas.openxmlformats.org/officeDocument/2006/relationships/hyperlink" Target="http://online.zakon.kz/Document/?doc_id=39644270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644270" TargetMode="External"/><Relationship Id="rId20" Type="http://schemas.openxmlformats.org/officeDocument/2006/relationships/hyperlink" Target="http://online.zakon.kz/Document/?doc_id=37739406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9443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945469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8278394" TargetMode="External"/><Relationship Id="rId19" Type="http://schemas.openxmlformats.org/officeDocument/2006/relationships/hyperlink" Target="http://online.zakon.kz/Document/?doc_id=342659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95702" TargetMode="External"/><Relationship Id="rId14" Type="http://schemas.openxmlformats.org/officeDocument/2006/relationships/hyperlink" Target="http://online.zakon.kz/Document/?doc_id=34945469" TargetMode="External"/><Relationship Id="rId22" Type="http://schemas.openxmlformats.org/officeDocument/2006/relationships/hyperlink" Target="http://online.zakon.kz/Document/?doc_id=39006407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2554</Characters>
  <Application>Microsoft Office Word</Application>
  <DocSecurity>0</DocSecurity>
  <Lines>21</Lines>
  <Paragraphs>5</Paragraphs>
  <ScaleCrop>false</ScaleCrop>
  <Company/>
  <LinksUpToDate>false</LinksUpToDate>
  <CharactersWithSpaces>2769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2025-03-01T03:32:00Z</dcterms:created>
  <dcterms:modified xsi:type="dcterms:W3CDTF">2025-03-01T03:32:00Z</dcterms:modified>
</cp:coreProperties>
</file>