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96E12">
      <w:pPr>
        <w:ind w:firstLine="400"/>
        <w:jc w:val="right"/>
      </w:pPr>
      <w:bookmarkStart w:id="0" w:name="_GoBack"/>
      <w:bookmarkEnd w:id="0"/>
      <w:r>
        <w:rPr>
          <w:rStyle w:val="s0"/>
          <w:b/>
          <w:bCs/>
        </w:rPr>
        <w:t>Л. Ким, профессиональный бухгалтер РК, CAP</w:t>
      </w:r>
    </w:p>
    <w:p w:rsidR="00000000" w:rsidRDefault="00596E12">
      <w:pPr>
        <w:ind w:firstLine="400"/>
        <w:jc w:val="both"/>
      </w:pPr>
      <w:r>
        <w:rPr>
          <w:rStyle w:val="s0"/>
        </w:rPr>
        <w:t> </w:t>
      </w:r>
    </w:p>
    <w:p w:rsidR="00000000" w:rsidRDefault="00596E12">
      <w:pPr>
        <w:ind w:firstLine="400"/>
        <w:jc w:val="both"/>
      </w:pPr>
      <w:r>
        <w:rPr>
          <w:rStyle w:val="s0"/>
        </w:rPr>
        <w:t> </w:t>
      </w:r>
    </w:p>
    <w:p w:rsidR="00000000" w:rsidRDefault="00596E12">
      <w:pPr>
        <w:jc w:val="center"/>
      </w:pPr>
      <w:r>
        <w:rPr>
          <w:rStyle w:val="S1"/>
        </w:rPr>
        <w:t>НЕОБХОДИМО ЛИ ЕЖЕМЕСЯЧНО ДЕЛАТЬ ПЕРЕОЦЕНКУ ВАЛЮТНЫХ СРЕДСТВ НА РАСЧЕТНОМ СЧЕТЕ?</w:t>
      </w:r>
    </w:p>
    <w:p w:rsidR="00000000" w:rsidRDefault="00596E12">
      <w:pPr>
        <w:ind w:firstLine="400"/>
        <w:jc w:val="both"/>
      </w:pPr>
      <w:r>
        <w:rPr>
          <w:rStyle w:val="s0"/>
        </w:rPr>
        <w:t> </w:t>
      </w:r>
    </w:p>
    <w:p w:rsidR="00000000" w:rsidRDefault="00596E12">
      <w:pPr>
        <w:ind w:firstLine="400"/>
        <w:jc w:val="both"/>
      </w:pPr>
      <w:r>
        <w:rPr>
          <w:rStyle w:val="s0"/>
          <w:i/>
          <w:iCs/>
        </w:rPr>
        <w:t>Предприятие-резидент РК имеет в банке текущий валютный счет, на котором длительное время имеется остаток денежных средств в валюте. При необходимости предприятие продает часть валюты для собственных нужд. Требуется ли переоценка валютных средств с учетом и</w:t>
      </w:r>
      <w:r>
        <w:rPr>
          <w:rStyle w:val="s0"/>
          <w:i/>
          <w:iCs/>
        </w:rPr>
        <w:t>зменяющихся курсов на каждую дату продажи, а также на конец каждого месяца? Если требуется, то какой курс используется при переоценке - рыночный или курс Нацбанка?</w:t>
      </w:r>
    </w:p>
    <w:p w:rsidR="00000000" w:rsidRDefault="00596E12">
      <w:pPr>
        <w:ind w:firstLine="400"/>
        <w:jc w:val="both"/>
      </w:pPr>
      <w:r>
        <w:rPr>
          <w:rStyle w:val="s0"/>
        </w:rPr>
        <w:t> </w:t>
      </w:r>
    </w:p>
    <w:p w:rsidR="00000000" w:rsidRDefault="00596E12">
      <w:pPr>
        <w:ind w:firstLine="400"/>
        <w:jc w:val="both"/>
      </w:pPr>
      <w:r>
        <w:rPr>
          <w:rStyle w:val="s0"/>
        </w:rPr>
        <w:t xml:space="preserve">В соответствии с </w:t>
      </w:r>
      <w:hyperlink r:id="rId7" w:history="1">
        <w:r>
          <w:rPr>
            <w:rStyle w:val="a3"/>
          </w:rPr>
          <w:t>Законом</w:t>
        </w:r>
      </w:hyperlink>
      <w:r>
        <w:rPr>
          <w:rStyle w:val="s0"/>
        </w:rPr>
        <w:t xml:space="preserve"> </w:t>
      </w:r>
      <w:r>
        <w:rPr>
          <w:rStyle w:val="s0"/>
        </w:rPr>
        <w:t>РК «О бухгалтерском учете и финансовой отчетности учетная политика представляет собой конкретные принципы, основы, положения, правила и практику, принятые к применению индивидуальным предпринимателем или организацией для ведения бухгалтерского учета и сост</w:t>
      </w:r>
      <w:r>
        <w:rPr>
          <w:rStyle w:val="s0"/>
        </w:rPr>
        <w:t xml:space="preserve">авления финансовой отчетности в соответствии с требованиями законодательства Республики Казахстан о бухгалтерском учете и финансовой отчетности, международными или национальными стандартами, </w:t>
      </w:r>
      <w:hyperlink r:id="rId8" w:history="1">
        <w:r>
          <w:rPr>
            <w:rStyle w:val="a3"/>
          </w:rPr>
          <w:t>МСФО для МСБ</w:t>
        </w:r>
      </w:hyperlink>
      <w:r>
        <w:rPr>
          <w:rStyle w:val="s0"/>
        </w:rPr>
        <w:t xml:space="preserve"> и </w:t>
      </w:r>
      <w:hyperlink r:id="rId9" w:history="1">
        <w:r>
          <w:rPr>
            <w:rStyle w:val="a3"/>
          </w:rPr>
          <w:t>типовым планом</w:t>
        </w:r>
      </w:hyperlink>
      <w:r>
        <w:rPr>
          <w:rStyle w:val="s0"/>
        </w:rPr>
        <w:t xml:space="preserve"> счетов бухгалтерского учета, исходя из их потребностей и особенностей деятельности.</w:t>
      </w:r>
    </w:p>
    <w:p w:rsidR="00000000" w:rsidRDefault="00596E12">
      <w:pPr>
        <w:ind w:firstLine="400"/>
        <w:jc w:val="both"/>
      </w:pPr>
      <w:r>
        <w:rPr>
          <w:rStyle w:val="s0"/>
        </w:rPr>
        <w:t xml:space="preserve">Согласно </w:t>
      </w:r>
      <w:hyperlink r:id="rId10" w:history="1">
        <w:r>
          <w:rPr>
            <w:rStyle w:val="a3"/>
          </w:rPr>
          <w:t>НСФ</w:t>
        </w:r>
        <w:r>
          <w:rPr>
            <w:rStyle w:val="a3"/>
          </w:rPr>
          <w:t>О</w:t>
        </w:r>
      </w:hyperlink>
      <w:r>
        <w:rPr>
          <w:rStyle w:val="s0"/>
        </w:rPr>
        <w:t xml:space="preserve"> при первоначальном признании операции, предполагающей расчет в иностранной валюте, применяется текущий рыночный курс обмена валют на дату совершаемой операции для учета сделок в тенге. Монетарные статьи в иностранной валюте на конец каждого отчетного пер</w:t>
      </w:r>
      <w:r>
        <w:rPr>
          <w:rStyle w:val="s0"/>
        </w:rPr>
        <w:t>иода переоцениваются по рыночному курсу обмена валют на дату закрытия периода. Курсовые разницы, возникающие при расчетах по монетарным статьям или при переводе монетарных статей на каждую отчетную дату по курсам, отличающимся от курсов, по которым они был</w:t>
      </w:r>
      <w:r>
        <w:rPr>
          <w:rStyle w:val="s0"/>
        </w:rPr>
        <w:t>и переведены при первоначальном признании в течение периода или в предыдущей финансовой отчетности, признаются в прибыли или убытках за период, в котором они возникли.</w:t>
      </w:r>
    </w:p>
    <w:p w:rsidR="00000000" w:rsidRDefault="00596E12">
      <w:pPr>
        <w:ind w:firstLine="400"/>
        <w:jc w:val="both"/>
      </w:pPr>
      <w:r>
        <w:rPr>
          <w:rStyle w:val="s0"/>
        </w:rPr>
        <w:t xml:space="preserve">В соответствии с МСФО для малого и среднего бизнеса операция в иностранной валюте - это </w:t>
      </w:r>
      <w:r>
        <w:rPr>
          <w:rStyle w:val="s0"/>
        </w:rPr>
        <w:t>операция, выраженная в иностранной валюте или предполагающая расчет в иностранной валюте. При первоначальном признании операция в иностранной валюте учитывается в функциональной валюте с применением к сумме в иностранной валюте текущего обменного курса ино</w:t>
      </w:r>
      <w:r>
        <w:rPr>
          <w:rStyle w:val="s0"/>
        </w:rPr>
        <w:t>странной валюты на функциональную по состоянию на дату операции. На конец каждого отчетного периода предприятие должно переводить монетарные статьи в иностранной валюте, используя курс на дату закрытия периода.</w:t>
      </w:r>
    </w:p>
    <w:p w:rsidR="00000000" w:rsidRDefault="00596E12">
      <w:pPr>
        <w:ind w:firstLine="400"/>
        <w:jc w:val="both"/>
      </w:pPr>
      <w:hyperlink r:id="rId11" w:history="1">
        <w:r>
          <w:rPr>
            <w:rStyle w:val="a3"/>
          </w:rPr>
          <w:t>МСФО 21</w:t>
        </w:r>
      </w:hyperlink>
      <w:r>
        <w:rPr>
          <w:rStyle w:val="s0"/>
        </w:rPr>
        <w:t xml:space="preserve"> регламентирует, что при первоначальном признании операция в иностранной валюте учитывается в функциональной валюте с применением к сумме в иностранной валюте текущего обменного курса иностранной валюты на функциональную по состо</w:t>
      </w:r>
      <w:r>
        <w:rPr>
          <w:rStyle w:val="s0"/>
        </w:rPr>
        <w:t>янию на дату операции. На конец каждого отчетного периода монетарные статьи в иностранной валюте переводятся по курсу закрытия.</w:t>
      </w:r>
    </w:p>
    <w:p w:rsidR="00000000" w:rsidRDefault="00596E12">
      <w:pPr>
        <w:ind w:firstLine="400"/>
        <w:jc w:val="both"/>
      </w:pPr>
      <w:r>
        <w:rPr>
          <w:rStyle w:val="s0"/>
        </w:rPr>
        <w:t xml:space="preserve">В соответствии со </w:t>
      </w:r>
      <w:hyperlink r:id="rId12" w:anchor="sub_id=570000" w:history="1">
        <w:r>
          <w:rPr>
            <w:rStyle w:val="a3"/>
          </w:rPr>
          <w:t>статьей 57</w:t>
        </w:r>
      </w:hyperlink>
      <w:r>
        <w:rPr>
          <w:rStyle w:val="s0"/>
        </w:rPr>
        <w:t xml:space="preserve"> Налогового коде</w:t>
      </w:r>
      <w:r>
        <w:rPr>
          <w:rStyle w:val="s0"/>
        </w:rPr>
        <w:t>кса, если иное не предусмотрено настоящим Кодексом, учет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РК о бухгалтерском учете и финансовой отчетно</w:t>
      </w:r>
      <w:r>
        <w:rPr>
          <w:rStyle w:val="s0"/>
        </w:rPr>
        <w:t xml:space="preserve">сти с применением рыночного курса обмена валюты. Согласно </w:t>
      </w:r>
      <w:hyperlink r:id="rId13" w:anchor="sub_id=120000" w:history="1">
        <w:r>
          <w:rPr>
            <w:rStyle w:val="a3"/>
          </w:rPr>
          <w:t>статье 12</w:t>
        </w:r>
      </w:hyperlink>
      <w:r>
        <w:rPr>
          <w:rStyle w:val="s0"/>
        </w:rPr>
        <w:t xml:space="preserve"> Налогового кодекса рыночный курс обмена валюты - средневзвешенный биржевой курс тенге к иностранной валю</w:t>
      </w:r>
      <w:r>
        <w:rPr>
          <w:rStyle w:val="s0"/>
        </w:rPr>
        <w:t>те, сложившийся на основной сессии фондовой биржи, функционирующей на территории Республики Казахстан, и определенный в порядке, устанавливаемом Национальным Банком Республики Казахстан совместно с уполномоченным государственным органом, осуществляющим рег</w:t>
      </w:r>
      <w:r>
        <w:rPr>
          <w:rStyle w:val="s0"/>
        </w:rPr>
        <w:t>улирование деятельности в сфере бухгалтерского учета и финансовой отчетности, а также курс тенге к иностранной валюте, по которой на фондовой бирже, функционирующей на территории Республики Казахстан, не проводятся торги, рассчитываемый с использованием кр</w:t>
      </w:r>
      <w:r>
        <w:rPr>
          <w:rStyle w:val="s0"/>
        </w:rPr>
        <w:t>осс-курсов в порядке, устанавливаемом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p w:rsidR="00000000" w:rsidRDefault="00596E12">
      <w:pPr>
        <w:ind w:firstLine="400"/>
        <w:jc w:val="both"/>
      </w:pPr>
      <w:r>
        <w:rPr>
          <w:rStyle w:val="s0"/>
        </w:rPr>
        <w:t>Таким образом, денежные средс</w:t>
      </w:r>
      <w:r>
        <w:rPr>
          <w:rStyle w:val="s0"/>
        </w:rPr>
        <w:t xml:space="preserve">тва в валюте, учитываемые на расчетном счете, являются монетарной статьей. На основании положений НСФО, МСФО, МСФО для МСБ монетарные статьи переоцениваются на момент проведения операции и при закрытии периода (на отчетную дату) с использованием рыночного </w:t>
      </w:r>
      <w:r>
        <w:rPr>
          <w:rStyle w:val="s0"/>
        </w:rPr>
        <w:t xml:space="preserve">курса обмена валюты. Согласно </w:t>
      </w:r>
      <w:hyperlink r:id="rId14" w:anchor="sub_id=180000" w:history="1">
        <w:r>
          <w:rPr>
            <w:rStyle w:val="a3"/>
          </w:rPr>
          <w:t>статье 18</w:t>
        </w:r>
      </w:hyperlink>
      <w:r>
        <w:rPr>
          <w:rStyle w:val="s0"/>
        </w:rPr>
        <w:t xml:space="preserve"> Закона РК «О бухгалтерском учете и финансовой отчетности» отчетным периодом для годовой финансовой отчетности является календарный г</w:t>
      </w:r>
      <w:r>
        <w:rPr>
          <w:rStyle w:val="s0"/>
        </w:rPr>
        <w:t>од, начиная с 1 января по 31 декабря.</w:t>
      </w:r>
    </w:p>
    <w:sectPr w:rsidR="0000000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E12" w:rsidRDefault="00596E12" w:rsidP="00596E12">
      <w:r>
        <w:separator/>
      </w:r>
    </w:p>
  </w:endnote>
  <w:endnote w:type="continuationSeparator" w:id="0">
    <w:p w:rsidR="00596E12" w:rsidRDefault="00596E12" w:rsidP="005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12" w:rsidRDefault="00596E1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12" w:rsidRDefault="00596E1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12" w:rsidRDefault="00596E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E12" w:rsidRDefault="00596E12" w:rsidP="00596E12">
      <w:r>
        <w:separator/>
      </w:r>
    </w:p>
  </w:footnote>
  <w:footnote w:type="continuationSeparator" w:id="0">
    <w:p w:rsidR="00596E12" w:rsidRDefault="00596E12" w:rsidP="00596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12" w:rsidRDefault="00596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12" w:rsidRDefault="00596E12" w:rsidP="00596E12">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96E12" w:rsidRPr="00596E12" w:rsidRDefault="00596E12" w:rsidP="00596E12">
    <w:pPr>
      <w:pStyle w:val="a5"/>
      <w:spacing w:after="100"/>
      <w:jc w:val="right"/>
      <w:rPr>
        <w:rFonts w:ascii="Arial" w:hAnsi="Arial" w:cs="Arial"/>
        <w:color w:val="808080"/>
        <w:sz w:val="20"/>
      </w:rPr>
    </w:pPr>
    <w:r>
      <w:rPr>
        <w:rFonts w:ascii="Arial" w:hAnsi="Arial" w:cs="Arial"/>
        <w:color w:val="808080"/>
        <w:sz w:val="20"/>
      </w:rPr>
      <w:t>Документ: Необходимо ли ежемесячно делать переоценку валютных средств на расчетном счете? (Л. Ким, 9 апреля 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12" w:rsidRDefault="00596E1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96E12"/>
    <w:rsid w:val="0059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8">
    <w:name w:val="S8 Знак"/>
    <w:basedOn w:val="a0"/>
    <w:link w:val="S80"/>
  </w:style>
  <w:style w:type="paragraph" w:customStyle="1" w:styleId="S80">
    <w:name w:val="S8"/>
    <w:basedOn w:val="a"/>
    <w:link w:val="S8"/>
    <w:rPr>
      <w:color w:val="333399"/>
    </w:rPr>
  </w:style>
  <w:style w:type="paragraph" w:customStyle="1" w:styleId="msochpdefault">
    <w:name w:val="msochpdefault"/>
    <w:basedOn w:val="a"/>
    <w:pPr>
      <w:spacing w:before="100" w:beforeAutospacing="1" w:after="100" w:afterAutospacing="1"/>
    </w:pPr>
    <w:rPr>
      <w:rFonts w:ascii="Calibri" w:hAnsi="Calibri" w:cs="Calibri"/>
      <w:color w:val="auto"/>
      <w:sz w:val="20"/>
      <w:szCs w:val="20"/>
    </w:rPr>
  </w:style>
  <w:style w:type="paragraph" w:customStyle="1" w:styleId="msopapdefault">
    <w:name w:val="msopapdefault"/>
    <w:basedOn w:val="a"/>
    <w:pPr>
      <w:spacing w:before="100" w:beforeAutospacing="1" w:after="200" w:line="276" w:lineRule="auto"/>
    </w:pPr>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596E12"/>
    <w:pPr>
      <w:tabs>
        <w:tab w:val="center" w:pos="4677"/>
        <w:tab w:val="right" w:pos="9355"/>
      </w:tabs>
    </w:pPr>
  </w:style>
  <w:style w:type="character" w:customStyle="1" w:styleId="a6">
    <w:name w:val="Верхний колонтитул Знак"/>
    <w:basedOn w:val="a0"/>
    <w:link w:val="a5"/>
    <w:uiPriority w:val="99"/>
    <w:rsid w:val="00596E12"/>
    <w:rPr>
      <w:rFonts w:ascii="Times New Roman" w:eastAsiaTheme="minorEastAsia" w:hAnsi="Times New Roman" w:cs="Times New Roman"/>
      <w:color w:val="000000"/>
      <w:sz w:val="24"/>
      <w:szCs w:val="24"/>
    </w:rPr>
  </w:style>
  <w:style w:type="paragraph" w:styleId="a7">
    <w:name w:val="footer"/>
    <w:basedOn w:val="a"/>
    <w:link w:val="a8"/>
    <w:uiPriority w:val="99"/>
    <w:unhideWhenUsed/>
    <w:rsid w:val="00596E12"/>
    <w:pPr>
      <w:tabs>
        <w:tab w:val="center" w:pos="4677"/>
        <w:tab w:val="right" w:pos="9355"/>
      </w:tabs>
    </w:pPr>
  </w:style>
  <w:style w:type="character" w:customStyle="1" w:styleId="a8">
    <w:name w:val="Нижний колонтитул Знак"/>
    <w:basedOn w:val="a0"/>
    <w:link w:val="a7"/>
    <w:uiPriority w:val="99"/>
    <w:rsid w:val="00596E12"/>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8">
    <w:name w:val="S8 Знак"/>
    <w:basedOn w:val="a0"/>
    <w:link w:val="S80"/>
  </w:style>
  <w:style w:type="paragraph" w:customStyle="1" w:styleId="S80">
    <w:name w:val="S8"/>
    <w:basedOn w:val="a"/>
    <w:link w:val="S8"/>
    <w:rPr>
      <w:color w:val="333399"/>
    </w:rPr>
  </w:style>
  <w:style w:type="paragraph" w:customStyle="1" w:styleId="msochpdefault">
    <w:name w:val="msochpdefault"/>
    <w:basedOn w:val="a"/>
    <w:pPr>
      <w:spacing w:before="100" w:beforeAutospacing="1" w:after="100" w:afterAutospacing="1"/>
    </w:pPr>
    <w:rPr>
      <w:rFonts w:ascii="Calibri" w:hAnsi="Calibri" w:cs="Calibri"/>
      <w:color w:val="auto"/>
      <w:sz w:val="20"/>
      <w:szCs w:val="20"/>
    </w:rPr>
  </w:style>
  <w:style w:type="paragraph" w:customStyle="1" w:styleId="msopapdefault">
    <w:name w:val="msopapdefault"/>
    <w:basedOn w:val="a"/>
    <w:pPr>
      <w:spacing w:before="100" w:beforeAutospacing="1" w:after="200" w:line="276" w:lineRule="auto"/>
    </w:pPr>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596E12"/>
    <w:pPr>
      <w:tabs>
        <w:tab w:val="center" w:pos="4677"/>
        <w:tab w:val="right" w:pos="9355"/>
      </w:tabs>
    </w:pPr>
  </w:style>
  <w:style w:type="character" w:customStyle="1" w:styleId="a6">
    <w:name w:val="Верхний колонтитул Знак"/>
    <w:basedOn w:val="a0"/>
    <w:link w:val="a5"/>
    <w:uiPriority w:val="99"/>
    <w:rsid w:val="00596E12"/>
    <w:rPr>
      <w:rFonts w:ascii="Times New Roman" w:eastAsiaTheme="minorEastAsia" w:hAnsi="Times New Roman" w:cs="Times New Roman"/>
      <w:color w:val="000000"/>
      <w:sz w:val="24"/>
      <w:szCs w:val="24"/>
    </w:rPr>
  </w:style>
  <w:style w:type="paragraph" w:styleId="a7">
    <w:name w:val="footer"/>
    <w:basedOn w:val="a"/>
    <w:link w:val="a8"/>
    <w:uiPriority w:val="99"/>
    <w:unhideWhenUsed/>
    <w:rsid w:val="00596E12"/>
    <w:pPr>
      <w:tabs>
        <w:tab w:val="center" w:pos="4677"/>
        <w:tab w:val="right" w:pos="9355"/>
      </w:tabs>
    </w:pPr>
  </w:style>
  <w:style w:type="character" w:customStyle="1" w:styleId="a8">
    <w:name w:val="Нижний колонтитул Знак"/>
    <w:basedOn w:val="a0"/>
    <w:link w:val="a7"/>
    <w:uiPriority w:val="99"/>
    <w:rsid w:val="00596E12"/>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318725" TargetMode="External"/><Relationship Id="rId13" Type="http://schemas.openxmlformats.org/officeDocument/2006/relationships/hyperlink" Target="http://online.zakon.kz/Document/?doc_id=3036621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nline.zakon.kz/Document/?doc_id=30092011" TargetMode="External"/><Relationship Id="rId12" Type="http://schemas.openxmlformats.org/officeDocument/2006/relationships/hyperlink" Target="http://online.zakon.kz/Document/?doc_id=30366217"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00356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nline.zakon.kz/Document/?doc_id=3133504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online.zakon.kz/Document/?doc_id=30110808" TargetMode="External"/><Relationship Id="rId14" Type="http://schemas.openxmlformats.org/officeDocument/2006/relationships/hyperlink" Target="http://online.zakon.kz/Document/?doc_id=300920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4459</Characters>
  <Application>Microsoft Office Word</Application>
  <DocSecurity>0</DocSecurity>
  <Lines>37</Lines>
  <Paragraphs>10</Paragraphs>
  <ScaleCrop>false</ScaleCrop>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2026-01-04T23:27:00Z</dcterms:created>
  <dcterms:modified xsi:type="dcterms:W3CDTF">2026-01-04T23:27:00Z</dcterms:modified>
</cp:coreProperties>
</file>