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4F1C">
      <w:pPr>
        <w:pStyle w:val="pr"/>
      </w:pPr>
      <w:bookmarkStart w:id="0" w:name="_GoBack"/>
      <w:bookmarkEnd w:id="0"/>
      <w:r>
        <w:t>09.07.2018</w:t>
      </w:r>
    </w:p>
    <w:p w:rsidR="00000000" w:rsidRDefault="00A74F1C">
      <w:pPr>
        <w:pStyle w:val="pc"/>
      </w:pPr>
      <w:r>
        <w:rPr>
          <w:rStyle w:val="s1"/>
        </w:rPr>
        <w:t>Пресс- релиз № 18</w:t>
      </w:r>
      <w:r>
        <w:rPr>
          <w:rStyle w:val="s1"/>
        </w:rPr>
        <w:br/>
        <w:t>О сохранении базовой ставки на уровне 9%</w:t>
      </w:r>
    </w:p>
    <w:p w:rsidR="00000000" w:rsidRDefault="00A74F1C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74F1C">
            <w:pPr>
              <w:pStyle w:val="p"/>
            </w:pPr>
            <w:r>
              <w:rPr>
                <w:rStyle w:val="s0"/>
              </w:rPr>
              <w:t>9 июля 2018 г.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74F1C">
            <w:pPr>
              <w:pStyle w:val="pr"/>
            </w:pPr>
            <w:r>
              <w:rPr>
                <w:rStyle w:val="s0"/>
              </w:rPr>
              <w:t>г. Алматы</w:t>
            </w:r>
          </w:p>
        </w:tc>
      </w:tr>
    </w:tbl>
    <w:p w:rsidR="00000000" w:rsidRDefault="00A74F1C">
      <w:pPr>
        <w:pStyle w:val="pc"/>
      </w:pPr>
      <w:r>
        <w:rPr>
          <w:rStyle w:val="s0"/>
        </w:rPr>
        <w:t> </w:t>
      </w:r>
    </w:p>
    <w:p w:rsidR="00000000" w:rsidRDefault="00A74F1C">
      <w:pPr>
        <w:pStyle w:val="pj"/>
      </w:pPr>
      <w:r>
        <w:t> </w:t>
      </w:r>
    </w:p>
    <w:p w:rsidR="00000000" w:rsidRDefault="00A74F1C">
      <w:pPr>
        <w:pStyle w:val="pj"/>
      </w:pPr>
      <w:r>
        <w:rPr>
          <w:rStyle w:val="s0"/>
          <w:i/>
          <w:iCs/>
        </w:rPr>
        <w:t>Национальный Банк Республики Казахстан принял решение сохранить базовую ставку на уровне 9% с коридором +/-1%. Годовая инфляция находится внутри целевого коридора 2018 года и, по оценкам Национального Банка, ее дальнейшая динамика будет складываться в пред</w:t>
      </w:r>
      <w:r>
        <w:rPr>
          <w:rStyle w:val="s0"/>
          <w:i/>
          <w:iCs/>
        </w:rPr>
        <w:t>елах целевого коридора 2018 и 2019 годов. Однако вероятность реализации инфляционных рисков в кратко- и среднесрочной перспективе, особенно со стороны внешнего сектора и бюджетной политики, ограничивает потенциал смягчения денежно-кредитных условий в текущ</w:t>
      </w:r>
      <w:r>
        <w:rPr>
          <w:rStyle w:val="s0"/>
          <w:i/>
          <w:iCs/>
        </w:rPr>
        <w:t>ем году.</w:t>
      </w:r>
    </w:p>
    <w:p w:rsidR="00000000" w:rsidRDefault="00A74F1C">
      <w:pPr>
        <w:pStyle w:val="pj"/>
      </w:pPr>
      <w:r>
        <w:rPr>
          <w:rStyle w:val="s0"/>
          <w:b/>
          <w:bCs/>
        </w:rPr>
        <w:t>Инфляция</w:t>
      </w:r>
      <w:r>
        <w:rPr>
          <w:rStyle w:val="s0"/>
        </w:rPr>
        <w:t xml:space="preserve"> продолжила нисходящий тренд в соответствии с оценками Национального Банка. В первом полугодии 2018 года ее уровень демонстрирует более низкие показатели (2,6%) по сравнению с аналогичным периодом предыдущего года (3,7%), что обеспечило за</w:t>
      </w:r>
      <w:r>
        <w:rPr>
          <w:rStyle w:val="s0"/>
        </w:rPr>
        <w:t>медление годовой инфляции в июне до 5,9%. Снижение уровня инфляции обусловлено более благоприятным сезонным влиянием тенденций на агропродовольственных рынках и продолжающимся замедлением темпов роста цен внутренних производителей на потребительские товары</w:t>
      </w:r>
      <w:r>
        <w:rPr>
          <w:rStyle w:val="s0"/>
        </w:rPr>
        <w:t>.</w:t>
      </w:r>
    </w:p>
    <w:p w:rsidR="00000000" w:rsidRDefault="00A74F1C">
      <w:pPr>
        <w:pStyle w:val="pj"/>
      </w:pPr>
      <w:r>
        <w:rPr>
          <w:rStyle w:val="s0"/>
        </w:rPr>
        <w:t>Однако, из-за невысокого уровня инфляции в 3 квартале прошлого года, учитываемого при статистических расчетах, ощутимое замедление годовой инфляции до конца текущего года, по оценкам Национального Банка, не ожидается.</w:t>
      </w:r>
    </w:p>
    <w:p w:rsidR="00000000" w:rsidRDefault="00A74F1C">
      <w:pPr>
        <w:pStyle w:val="pj"/>
      </w:pPr>
      <w:r>
        <w:rPr>
          <w:rStyle w:val="s0"/>
          <w:b/>
          <w:bCs/>
        </w:rPr>
        <w:t>Инфляционные ожидания населения</w:t>
      </w:r>
      <w:r>
        <w:rPr>
          <w:rStyle w:val="s0"/>
        </w:rPr>
        <w:t xml:space="preserve"> демо</w:t>
      </w:r>
      <w:r>
        <w:rPr>
          <w:rStyle w:val="s0"/>
        </w:rPr>
        <w:t>нстрируют относительную устойчивость. Количественная оценка инфляционных ожиданий на год вперед в июне осталась на уровне февраля и мая текущего года - 6,0%. Изменения ожиданий в марте (более низкие) и апреле (более высокие) отражали влияние текущих рыночн</w:t>
      </w:r>
      <w:r>
        <w:rPr>
          <w:rStyle w:val="s0"/>
        </w:rPr>
        <w:t>ых условий.</w:t>
      </w:r>
    </w:p>
    <w:p w:rsidR="00000000" w:rsidRDefault="00A74F1C">
      <w:pPr>
        <w:pStyle w:val="pj"/>
      </w:pPr>
      <w:r>
        <w:rPr>
          <w:rStyle w:val="s0"/>
        </w:rPr>
        <w:t xml:space="preserve">Улучшается </w:t>
      </w:r>
      <w:r>
        <w:rPr>
          <w:rStyle w:val="s0"/>
          <w:b/>
          <w:bCs/>
        </w:rPr>
        <w:t>восприятие инфляции</w:t>
      </w:r>
      <w:r>
        <w:rPr>
          <w:rStyle w:val="s0"/>
        </w:rPr>
        <w:t xml:space="preserve"> населением. Доля респондентов опроса, считающих, что «за прошедшие 12 месяцев цены на товары и услуги росли быстрее, чем раньше», сложилась в июне на минимальном уровне за весь период наблюдений и составила 44,2%.</w:t>
      </w:r>
      <w:r>
        <w:rPr>
          <w:rStyle w:val="s0"/>
        </w:rPr>
        <w:t xml:space="preserve"> Максимальное историческое значение демонстрирует доля респондентов, отметивших более низкий уровень или снижающуюся динамику потребительских цен за истекший год - 22,5%.</w:t>
      </w:r>
    </w:p>
    <w:p w:rsidR="00000000" w:rsidRDefault="00A74F1C">
      <w:pPr>
        <w:pStyle w:val="pj"/>
      </w:pPr>
      <w:r>
        <w:rPr>
          <w:rStyle w:val="s0"/>
        </w:rPr>
        <w:t xml:space="preserve">Динамика роста </w:t>
      </w:r>
      <w:r>
        <w:rPr>
          <w:rStyle w:val="s0"/>
          <w:b/>
          <w:bCs/>
        </w:rPr>
        <w:t>экономической активности</w:t>
      </w:r>
      <w:r>
        <w:rPr>
          <w:rStyle w:val="s0"/>
        </w:rPr>
        <w:t xml:space="preserve"> продолжает оставаться положительной. Краткоср</w:t>
      </w:r>
      <w:r>
        <w:rPr>
          <w:rStyle w:val="s0"/>
        </w:rPr>
        <w:t>очный экономический индикатор в январе-мае составил 5,1% в годовом выражении. Положительный вклад в рост внесли все основные отрасли - горнодобывающая и обрабатывающая промышленности, связь, торговля, транспорт и сельское хозяйство.</w:t>
      </w:r>
    </w:p>
    <w:p w:rsidR="00000000" w:rsidRDefault="00A74F1C">
      <w:pPr>
        <w:pStyle w:val="pj"/>
      </w:pPr>
      <w:r>
        <w:rPr>
          <w:rStyle w:val="s0"/>
        </w:rPr>
        <w:t>При этом показатели эко</w:t>
      </w:r>
      <w:r>
        <w:rPr>
          <w:rStyle w:val="s0"/>
        </w:rPr>
        <w:t>номического роста находятся выше своих потенциальных значений и поддерживаются расширением совокупного спроса, как внутреннего потребительского и инвестиционного, так и внешнего, что привносит проинфляционное давление в экономику. Одним из факторов, которы</w:t>
      </w:r>
      <w:r>
        <w:rPr>
          <w:rStyle w:val="s0"/>
        </w:rPr>
        <w:t>й продолжит обеспечивать расширение потребительского совокупного спроса, остается социальная направленность бюджетной политики.</w:t>
      </w:r>
    </w:p>
    <w:p w:rsidR="00000000" w:rsidRDefault="00A74F1C">
      <w:pPr>
        <w:pStyle w:val="pj"/>
      </w:pPr>
      <w:r>
        <w:rPr>
          <w:rStyle w:val="s0"/>
        </w:rPr>
        <w:t xml:space="preserve">Ситуация </w:t>
      </w:r>
      <w:r>
        <w:rPr>
          <w:rStyle w:val="s0"/>
          <w:b/>
          <w:bCs/>
        </w:rPr>
        <w:t>на внешних рынках</w:t>
      </w:r>
      <w:r>
        <w:rPr>
          <w:rStyle w:val="s0"/>
        </w:rPr>
        <w:t xml:space="preserve"> носит разнонаправленный характер.</w:t>
      </w:r>
    </w:p>
    <w:p w:rsidR="00000000" w:rsidRDefault="00A74F1C">
      <w:pPr>
        <w:pStyle w:val="pj"/>
      </w:pPr>
      <w:r>
        <w:rPr>
          <w:rStyle w:val="s0"/>
        </w:rPr>
        <w:t>Динамика цен на нефть продолжает оказывать положительное влияние, ц</w:t>
      </w:r>
      <w:r>
        <w:rPr>
          <w:rStyle w:val="s0"/>
        </w:rPr>
        <w:t>ены формируются выше показателей в 70 долларов США за баррель, прогнозы экспертов по дальнейшей динамике цен остаются благоприятными.</w:t>
      </w:r>
    </w:p>
    <w:p w:rsidR="00000000" w:rsidRDefault="00A74F1C">
      <w:pPr>
        <w:pStyle w:val="pj"/>
      </w:pPr>
      <w:r>
        <w:rPr>
          <w:rStyle w:val="s0"/>
        </w:rPr>
        <w:t>В июне впервые с начала года наблюдалось снижение международных цен на продовольствие. Индекс цен FAO снизился на 1,3%, чт</w:t>
      </w:r>
      <w:r>
        <w:rPr>
          <w:rStyle w:val="s0"/>
        </w:rPr>
        <w:t>о обусловлено усилением торговой напряженности между странами. Наблюдалось снижение цен на зерновые. Однако перспективы производства основных зерновых культур ухудшаются, что может усилить инфляционный фон.</w:t>
      </w:r>
    </w:p>
    <w:p w:rsidR="00000000" w:rsidRDefault="00A74F1C">
      <w:pPr>
        <w:pStyle w:val="pj"/>
      </w:pPr>
      <w:r>
        <w:rPr>
          <w:rStyle w:val="s0"/>
        </w:rPr>
        <w:t xml:space="preserve">В среднесрочном периоде возможно проинфляционное </w:t>
      </w:r>
      <w:r>
        <w:rPr>
          <w:rStyle w:val="s0"/>
        </w:rPr>
        <w:t>давление из-за ожидаемого повышения уровня инфляции в странах - основных торговых партнерах.</w:t>
      </w:r>
    </w:p>
    <w:p w:rsidR="00000000" w:rsidRDefault="00A74F1C">
      <w:pPr>
        <w:pStyle w:val="pj"/>
      </w:pPr>
      <w:r>
        <w:rPr>
          <w:rStyle w:val="s0"/>
        </w:rPr>
        <w:t>В июне в результате ужесточения внешних монетарных условий наблюдалось ожидаемое укрепление доллара США на мировых рынках и изменение направленности потоков капитала из валют развивающихся рынков, включая тенге, в доллары США. В частности, объем краткосроч</w:t>
      </w:r>
      <w:r>
        <w:rPr>
          <w:rStyle w:val="s0"/>
        </w:rPr>
        <w:t>ных нот Национального Банка у нерезидентов снизился с марта по июнь текущего года с 454 до 241 млрд. тенге, что стало одним их факторов ослабления тенге</w:t>
      </w:r>
    </w:p>
    <w:p w:rsidR="00000000" w:rsidRDefault="00A74F1C">
      <w:pPr>
        <w:pStyle w:val="pj"/>
      </w:pPr>
      <w:r>
        <w:rPr>
          <w:rStyle w:val="s0"/>
          <w:b/>
          <w:bCs/>
        </w:rPr>
        <w:t>Денежно-кредитные условия</w:t>
      </w:r>
      <w:r>
        <w:rPr>
          <w:rStyle w:val="s0"/>
        </w:rPr>
        <w:t xml:space="preserve"> продолжают поддерживаться на нейтральном уровне. В целях управления инфляцион</w:t>
      </w:r>
      <w:r>
        <w:rPr>
          <w:rStyle w:val="s0"/>
        </w:rPr>
        <w:t>ными ожиданиями на фоне неустойчивых внешних факторов и вероятности реализации проинфляционных рисков не исключается изменение характера денежно-кредитных условий на более жесткий.</w:t>
      </w:r>
    </w:p>
    <w:p w:rsidR="00000000" w:rsidRDefault="00A74F1C">
      <w:pPr>
        <w:pStyle w:val="pj"/>
      </w:pPr>
      <w:r>
        <w:rPr>
          <w:rStyle w:val="s0"/>
        </w:rPr>
        <w:t xml:space="preserve">Учитывая, что операционный ориентир денежно-кредитной политики - индикатор </w:t>
      </w:r>
      <w:r>
        <w:rPr>
          <w:rStyle w:val="s0"/>
        </w:rPr>
        <w:t>TONIA - находится ближе к нижней границе процентного коридора базовой ставки, Национальный Банк также рассматривает возможность повышения операционной эффективности денежно- кредитного регулирования. Во втором полугодии 2018 года будет изучен вопрос целесо</w:t>
      </w:r>
      <w:r>
        <w:rPr>
          <w:rStyle w:val="s0"/>
        </w:rPr>
        <w:t>образности сужения границ коридора.</w:t>
      </w:r>
    </w:p>
    <w:p w:rsidR="00000000" w:rsidRDefault="00A74F1C">
      <w:pPr>
        <w:pStyle w:val="pj"/>
      </w:pPr>
      <w:r>
        <w:rPr>
          <w:rStyle w:val="s0"/>
        </w:rPr>
        <w:t>Очередное решение по базовой ставке будет объявлено 3 сентября 2018 года в 17:00 по времени Астаны.</w:t>
      </w:r>
    </w:p>
    <w:p w:rsidR="00000000" w:rsidRDefault="00A74F1C">
      <w:pPr>
        <w:pStyle w:val="p"/>
      </w:pPr>
      <w:r>
        <w:t> </w:t>
      </w:r>
    </w:p>
    <w:p w:rsidR="00000000" w:rsidRDefault="00A74F1C">
      <w:pPr>
        <w:pStyle w:val="p"/>
      </w:pPr>
      <w:r>
        <w:rPr>
          <w:sz w:val="20"/>
          <w:szCs w:val="20"/>
        </w:rPr>
        <w:t> </w:t>
      </w:r>
    </w:p>
    <w:p w:rsidR="00000000" w:rsidRDefault="00A74F1C">
      <w:pPr>
        <w:pStyle w:val="p"/>
      </w:pPr>
      <w:r>
        <w:rPr>
          <w:sz w:val="20"/>
          <w:szCs w:val="20"/>
        </w:rPr>
        <w:t>Источник: *Национального Банка РК (</w:t>
      </w:r>
      <w:hyperlink r:id="rId7" w:tgtFrame="_blank" w:history="1">
        <w:r>
          <w:rPr>
            <w:rStyle w:val="a4"/>
            <w:sz w:val="20"/>
            <w:szCs w:val="20"/>
          </w:rPr>
          <w:t>https://www.nationalbank.</w:t>
        </w:r>
        <w:r>
          <w:rPr>
            <w:rStyle w:val="a4"/>
            <w:sz w:val="20"/>
            <w:szCs w:val="20"/>
          </w:rPr>
          <w:t>kz</w:t>
        </w:r>
      </w:hyperlink>
      <w:r>
        <w:rPr>
          <w:sz w:val="20"/>
          <w:szCs w:val="20"/>
        </w:rPr>
        <w:t>)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1C" w:rsidRDefault="00A74F1C" w:rsidP="00A74F1C">
      <w:r>
        <w:separator/>
      </w:r>
    </w:p>
  </w:endnote>
  <w:endnote w:type="continuationSeparator" w:id="0">
    <w:p w:rsidR="00A74F1C" w:rsidRDefault="00A74F1C" w:rsidP="00A7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1C" w:rsidRDefault="00A74F1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1C" w:rsidRDefault="00A74F1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1C" w:rsidRDefault="00A74F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1C" w:rsidRDefault="00A74F1C" w:rsidP="00A74F1C">
      <w:r>
        <w:separator/>
      </w:r>
    </w:p>
  </w:footnote>
  <w:footnote w:type="continuationSeparator" w:id="0">
    <w:p w:rsidR="00A74F1C" w:rsidRDefault="00A74F1C" w:rsidP="00A74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1C" w:rsidRDefault="00A74F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1C" w:rsidRDefault="00A74F1C" w:rsidP="00A74F1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74F1C" w:rsidRPr="00A74F1C" w:rsidRDefault="00A74F1C" w:rsidP="00A74F1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О сохранении базовой ставки на уровне 9% (пресс- релиз НБ РК от 9 июля 2018 г. № 18)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1C" w:rsidRDefault="00A74F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74F1C"/>
    <w:rsid w:val="00A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74F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4F1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74F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4F1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74F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4F1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74F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4F1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ationalbank.k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2025-07-08T10:12:00Z</dcterms:created>
  <dcterms:modified xsi:type="dcterms:W3CDTF">2025-07-08T10:12:00Z</dcterms:modified>
</cp:coreProperties>
</file>