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53E4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18 августа 2020 года № 520</w:t>
      </w:r>
      <w:r>
        <w:rPr>
          <w:rStyle w:val="s1"/>
        </w:rPr>
        <w:br/>
        <w:t>О внесении изменений и дополнений в постановление Правительства Республики Казахстан от 31 декабря 2019 года № 1054 «Об утверждении Государственной программы жилищно-коммунально</w:t>
      </w:r>
      <w:r>
        <w:rPr>
          <w:rStyle w:val="s1"/>
        </w:rPr>
        <w:t>го развития «Нұрлы жер» на 2020 - 2025 годы»</w:t>
      </w:r>
    </w:p>
    <w:p w:rsidR="00000000" w:rsidRDefault="002153E4">
      <w:pPr>
        <w:pStyle w:val="pc"/>
      </w:pPr>
      <w:r>
        <w:rPr>
          <w:rStyle w:val="s1"/>
        </w:rPr>
        <w:t> </w:t>
      </w:r>
    </w:p>
    <w:p w:rsidR="00000000" w:rsidRDefault="002153E4">
      <w:pPr>
        <w:pStyle w:val="pji"/>
      </w:pPr>
      <w:r>
        <w:rPr>
          <w:rStyle w:val="s3"/>
        </w:rPr>
        <w:t xml:space="preserve">Утратило силу в соответствии с </w:t>
      </w:r>
      <w:hyperlink r:id="rId7" w:anchor="sub_id=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 сентября 2022 года № 736</w:t>
      </w:r>
    </w:p>
    <w:p w:rsidR="00000000" w:rsidRDefault="002153E4">
      <w:pPr>
        <w:pStyle w:val="pji"/>
      </w:pPr>
      <w:r>
        <w:rPr>
          <w:rStyle w:val="s3"/>
        </w:rPr>
        <w:t> </w:t>
      </w:r>
    </w:p>
    <w:p w:rsidR="00000000" w:rsidRDefault="002153E4">
      <w:pPr>
        <w:pStyle w:val="pj"/>
      </w:pPr>
      <w:r>
        <w:rPr>
          <w:rStyle w:val="s0"/>
        </w:rPr>
        <w:t>Правительство Республики Казахстан</w:t>
      </w:r>
      <w:r>
        <w:rPr>
          <w:rStyle w:val="s0"/>
        </w:rPr>
        <w:t xml:space="preserve">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2153E4">
      <w:pPr>
        <w:pStyle w:val="pj"/>
      </w:pPr>
      <w:r>
        <w:rPr>
          <w:rStyle w:val="s0"/>
        </w:rPr>
        <w:t xml:space="preserve">1. Внести в </w:t>
      </w:r>
      <w:hyperlink r:id="rId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31 декабря 2019 года № 1054 «Об утверждении Государственной программы жилищно-коммунального развития «Нұрлы жер»</w:t>
      </w:r>
      <w:r>
        <w:rPr>
          <w:rStyle w:val="s0"/>
        </w:rPr>
        <w:t xml:space="preserve"> на 2020 - 2025 годы» следующие изменения и дополнения:</w:t>
      </w:r>
    </w:p>
    <w:p w:rsidR="00000000" w:rsidRDefault="002153E4">
      <w:pPr>
        <w:pStyle w:val="pj"/>
      </w:pPr>
      <w:r>
        <w:rPr>
          <w:rStyle w:val="s0"/>
        </w:rPr>
        <w:t xml:space="preserve">в </w:t>
      </w:r>
      <w:hyperlink r:id="rId9" w:anchor="sub_id=100" w:history="1">
        <w:r>
          <w:rPr>
            <w:rStyle w:val="a4"/>
          </w:rPr>
          <w:t>Государственной программе</w:t>
        </w:r>
      </w:hyperlink>
      <w:r>
        <w:rPr>
          <w:rStyle w:val="s0"/>
        </w:rPr>
        <w:t xml:space="preserve"> жилищно-коммунального развития «Нұрлы жер» на 2020 - 2025 годы, утвержденной указанным пост</w:t>
      </w:r>
      <w:r>
        <w:rPr>
          <w:rStyle w:val="s0"/>
        </w:rPr>
        <w:t>ановлением:</w:t>
      </w:r>
    </w:p>
    <w:p w:rsidR="00000000" w:rsidRDefault="002153E4">
      <w:pPr>
        <w:pStyle w:val="pj"/>
      </w:pPr>
      <w:r>
        <w:rPr>
          <w:rStyle w:val="s0"/>
        </w:rPr>
        <w:t>в разделе «1. Паспорт Государственной программы»:</w:t>
      </w:r>
    </w:p>
    <w:p w:rsidR="00000000" w:rsidRDefault="002153E4">
      <w:pPr>
        <w:pStyle w:val="pj"/>
      </w:pPr>
      <w:r>
        <w:rPr>
          <w:rStyle w:val="s0"/>
        </w:rPr>
        <w:t>строку «Источники и объемы финансирования» изложить в следующей редакции:</w:t>
      </w:r>
    </w:p>
    <w:p w:rsidR="00000000" w:rsidRDefault="002153E4">
      <w:pPr>
        <w:pStyle w:val="p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26"/>
        <w:gridCol w:w="7645"/>
      </w:tblGrid>
      <w:tr w:rsidR="00000000">
        <w:tc>
          <w:tcPr>
            <w:tcW w:w="67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3E4">
            <w:pPr>
              <w:pStyle w:val="p"/>
            </w:pPr>
            <w:r>
              <w:rPr>
                <w:rStyle w:val="s0"/>
              </w:rPr>
              <w:t>Источники и объемы финансирования</w:t>
            </w:r>
          </w:p>
        </w:tc>
        <w:tc>
          <w:tcPr>
            <w:tcW w:w="266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3E4">
            <w:pPr>
              <w:pStyle w:val="p"/>
            </w:pPr>
            <w:r>
              <w:rPr>
                <w:rStyle w:val="s0"/>
              </w:rPr>
              <w:t>Финансирование Государственной программы будет осуществляться за счет и в преде</w:t>
            </w:r>
            <w:r>
              <w:rPr>
                <w:rStyle w:val="s0"/>
              </w:rPr>
              <w:t>лах средств республиканского и местных бюджетов, а также иных источников, не запрещенных законодательством Республики Казахстан.</w:t>
            </w:r>
          </w:p>
          <w:p w:rsidR="00000000" w:rsidRDefault="002153E4">
            <w:pPr>
              <w:pStyle w:val="p"/>
            </w:pPr>
            <w:r>
              <w:rPr>
                <w:rStyle w:val="s0"/>
              </w:rPr>
              <w:t>Объемы финансирования Государственной программы составляют:</w:t>
            </w:r>
          </w:p>
          <w:p w:rsidR="00000000" w:rsidRDefault="002153E4">
            <w:pPr>
              <w:pStyle w:val="p"/>
            </w:pPr>
            <w:r>
              <w:rPr>
                <w:rStyle w:val="s0"/>
              </w:rPr>
              <w:t>млрд тенге</w:t>
            </w:r>
          </w:p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808"/>
              <w:gridCol w:w="904"/>
              <w:gridCol w:w="756"/>
              <w:gridCol w:w="756"/>
              <w:gridCol w:w="756"/>
              <w:gridCol w:w="756"/>
              <w:gridCol w:w="756"/>
              <w:gridCol w:w="917"/>
            </w:tblGrid>
            <w:tr w:rsidR="00000000">
              <w:trPr>
                <w:jc w:val="center"/>
              </w:trPr>
              <w:tc>
                <w:tcPr>
                  <w:tcW w:w="463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2153E4">
                  <w:pPr>
                    <w:rPr>
                      <w:rFonts w:eastAsia="Times New Roman"/>
                    </w:rPr>
                  </w:pPr>
                </w:p>
              </w:tc>
              <w:tc>
                <w:tcPr>
                  <w:tcW w:w="233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2153E4">
                  <w:pPr>
                    <w:pStyle w:val="p"/>
                  </w:pPr>
                  <w:r>
                    <w:rPr>
                      <w:rStyle w:val="s0"/>
                    </w:rPr>
                    <w:t>2020 год</w:t>
                  </w:r>
                </w:p>
              </w:tc>
              <w:tc>
                <w:tcPr>
                  <w:tcW w:w="193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2153E4">
                  <w:pPr>
                    <w:pStyle w:val="p"/>
                  </w:pPr>
                  <w:r>
                    <w:rPr>
                      <w:rStyle w:val="s0"/>
                    </w:rPr>
                    <w:t>2021 год</w:t>
                  </w:r>
                </w:p>
              </w:tc>
              <w:tc>
                <w:tcPr>
                  <w:tcW w:w="193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2153E4">
                  <w:pPr>
                    <w:pStyle w:val="p"/>
                  </w:pPr>
                  <w:r>
                    <w:rPr>
                      <w:rStyle w:val="s0"/>
                    </w:rPr>
                    <w:t>2022 год</w:t>
                  </w:r>
                </w:p>
              </w:tc>
              <w:tc>
                <w:tcPr>
                  <w:tcW w:w="193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2153E4">
                  <w:pPr>
                    <w:pStyle w:val="p"/>
                  </w:pPr>
                  <w:r>
                    <w:rPr>
                      <w:rStyle w:val="s0"/>
                    </w:rPr>
                    <w:t>2023 год</w:t>
                  </w:r>
                </w:p>
              </w:tc>
              <w:tc>
                <w:tcPr>
                  <w:tcW w:w="193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2153E4">
                  <w:pPr>
                    <w:pStyle w:val="p"/>
                  </w:pPr>
                  <w:r>
                    <w:rPr>
                      <w:rStyle w:val="s0"/>
                    </w:rPr>
                    <w:t>2024 год</w:t>
                  </w:r>
                </w:p>
              </w:tc>
              <w:tc>
                <w:tcPr>
                  <w:tcW w:w="193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2153E4">
                  <w:pPr>
                    <w:pStyle w:val="p"/>
                  </w:pPr>
                  <w:r>
                    <w:rPr>
                      <w:rStyle w:val="s0"/>
                    </w:rPr>
                    <w:t>2025 год</w:t>
                  </w:r>
                </w:p>
              </w:tc>
              <w:tc>
                <w:tcPr>
                  <w:tcW w:w="236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2153E4">
                  <w:pPr>
                    <w:pStyle w:val="p"/>
                  </w:pPr>
                  <w:r>
                    <w:rPr>
                      <w:rStyle w:val="s0"/>
                    </w:rPr>
                    <w:t>Всего</w:t>
                  </w:r>
                </w:p>
              </w:tc>
            </w:tr>
            <w:tr w:rsidR="00000000">
              <w:trPr>
                <w:jc w:val="center"/>
              </w:trPr>
              <w:tc>
                <w:tcPr>
                  <w:tcW w:w="46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2153E4">
                  <w:pPr>
                    <w:pStyle w:val="p"/>
                  </w:pPr>
                  <w:r>
                    <w:rPr>
                      <w:rStyle w:val="s0"/>
                    </w:rPr>
                    <w:t>РБ*</w:t>
                  </w:r>
                </w:p>
              </w:tc>
              <w:tc>
                <w:tcPr>
                  <w:tcW w:w="233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2153E4">
                  <w:pPr>
                    <w:pStyle w:val="p"/>
                  </w:pPr>
                  <w:r>
                    <w:rPr>
                      <w:rStyle w:val="s0"/>
                    </w:rPr>
                    <w:t>652,6</w:t>
                  </w:r>
                </w:p>
              </w:tc>
              <w:tc>
                <w:tcPr>
                  <w:tcW w:w="193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2153E4">
                  <w:pPr>
                    <w:pStyle w:val="p"/>
                  </w:pPr>
                  <w:r>
                    <w:rPr>
                      <w:rStyle w:val="s0"/>
                    </w:rPr>
                    <w:t>637,2</w:t>
                  </w:r>
                </w:p>
              </w:tc>
              <w:tc>
                <w:tcPr>
                  <w:tcW w:w="193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2153E4">
                  <w:pPr>
                    <w:pStyle w:val="p"/>
                  </w:pPr>
                  <w:r>
                    <w:rPr>
                      <w:rStyle w:val="s0"/>
                    </w:rPr>
                    <w:t>592,5</w:t>
                  </w:r>
                </w:p>
              </w:tc>
              <w:tc>
                <w:tcPr>
                  <w:tcW w:w="193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2153E4">
                  <w:pPr>
                    <w:pStyle w:val="p"/>
                  </w:pPr>
                  <w:r>
                    <w:rPr>
                      <w:rStyle w:val="s0"/>
                    </w:rPr>
                    <w:t>505,6</w:t>
                  </w:r>
                </w:p>
              </w:tc>
              <w:tc>
                <w:tcPr>
                  <w:tcW w:w="193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2153E4">
                  <w:pPr>
                    <w:pStyle w:val="p"/>
                  </w:pPr>
                  <w:r>
                    <w:rPr>
                      <w:rStyle w:val="s0"/>
                    </w:rPr>
                    <w:t>394,2</w:t>
                  </w:r>
                </w:p>
              </w:tc>
              <w:tc>
                <w:tcPr>
                  <w:tcW w:w="193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2153E4">
                  <w:pPr>
                    <w:pStyle w:val="p"/>
                  </w:pPr>
                  <w:r>
                    <w:rPr>
                      <w:rStyle w:val="s0"/>
                    </w:rPr>
                    <w:t>388,3</w:t>
                  </w:r>
                </w:p>
              </w:tc>
              <w:tc>
                <w:tcPr>
                  <w:tcW w:w="236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2153E4">
                  <w:pPr>
                    <w:pStyle w:val="p"/>
                  </w:pPr>
                  <w:r>
                    <w:rPr>
                      <w:rStyle w:val="s0"/>
                    </w:rPr>
                    <w:t>3 170,4</w:t>
                  </w:r>
                </w:p>
              </w:tc>
            </w:tr>
            <w:tr w:rsidR="00000000">
              <w:trPr>
                <w:jc w:val="center"/>
              </w:trPr>
              <w:tc>
                <w:tcPr>
                  <w:tcW w:w="46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2153E4">
                  <w:pPr>
                    <w:pStyle w:val="p"/>
                  </w:pPr>
                  <w:r>
                    <w:rPr>
                      <w:rStyle w:val="s0"/>
                    </w:rPr>
                    <w:t>МБ*</w:t>
                  </w:r>
                </w:p>
              </w:tc>
              <w:tc>
                <w:tcPr>
                  <w:tcW w:w="233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2153E4">
                  <w:pPr>
                    <w:pStyle w:val="p"/>
                  </w:pPr>
                  <w:r>
                    <w:rPr>
                      <w:rStyle w:val="s0"/>
                    </w:rPr>
                    <w:t>32,6</w:t>
                  </w:r>
                </w:p>
              </w:tc>
              <w:tc>
                <w:tcPr>
                  <w:tcW w:w="193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2153E4">
                  <w:pPr>
                    <w:pStyle w:val="p"/>
                  </w:pPr>
                  <w:r>
                    <w:rPr>
                      <w:rStyle w:val="s0"/>
                    </w:rPr>
                    <w:t>32,6</w:t>
                  </w:r>
                </w:p>
              </w:tc>
              <w:tc>
                <w:tcPr>
                  <w:tcW w:w="193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2153E4">
                  <w:pPr>
                    <w:pStyle w:val="p"/>
                  </w:pPr>
                  <w:r>
                    <w:rPr>
                      <w:rStyle w:val="s0"/>
                    </w:rPr>
                    <w:t>32,2</w:t>
                  </w:r>
                </w:p>
              </w:tc>
              <w:tc>
                <w:tcPr>
                  <w:tcW w:w="193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2153E4">
                  <w:pPr>
                    <w:pStyle w:val="p"/>
                  </w:pPr>
                  <w:r>
                    <w:rPr>
                      <w:rStyle w:val="s0"/>
                    </w:rPr>
                    <w:t>28,9</w:t>
                  </w:r>
                </w:p>
              </w:tc>
              <w:tc>
                <w:tcPr>
                  <w:tcW w:w="193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2153E4">
                  <w:pPr>
                    <w:pStyle w:val="p"/>
                  </w:pPr>
                  <w:r>
                    <w:rPr>
                      <w:rStyle w:val="s0"/>
                    </w:rPr>
                    <w:t>29,1</w:t>
                  </w:r>
                </w:p>
              </w:tc>
              <w:tc>
                <w:tcPr>
                  <w:tcW w:w="193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2153E4">
                  <w:pPr>
                    <w:pStyle w:val="p"/>
                  </w:pPr>
                  <w:r>
                    <w:rPr>
                      <w:rStyle w:val="s0"/>
                    </w:rPr>
                    <w:t>28,9</w:t>
                  </w:r>
                </w:p>
              </w:tc>
              <w:tc>
                <w:tcPr>
                  <w:tcW w:w="236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2153E4">
                  <w:pPr>
                    <w:pStyle w:val="p"/>
                  </w:pPr>
                  <w:r>
                    <w:rPr>
                      <w:rStyle w:val="s0"/>
                    </w:rPr>
                    <w:t>184,3</w:t>
                  </w:r>
                </w:p>
              </w:tc>
            </w:tr>
            <w:tr w:rsidR="00000000">
              <w:trPr>
                <w:jc w:val="center"/>
              </w:trPr>
              <w:tc>
                <w:tcPr>
                  <w:tcW w:w="46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2153E4">
                  <w:pPr>
                    <w:pStyle w:val="p"/>
                  </w:pPr>
                  <w:r>
                    <w:rPr>
                      <w:rStyle w:val="s0"/>
                    </w:rPr>
                    <w:t>Внебюджетные средства</w:t>
                  </w:r>
                </w:p>
              </w:tc>
              <w:tc>
                <w:tcPr>
                  <w:tcW w:w="233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2153E4">
                  <w:pPr>
                    <w:pStyle w:val="p"/>
                  </w:pPr>
                  <w:r>
                    <w:rPr>
                      <w:rStyle w:val="s0"/>
                    </w:rPr>
                    <w:t>704,5</w:t>
                  </w:r>
                </w:p>
              </w:tc>
              <w:tc>
                <w:tcPr>
                  <w:tcW w:w="193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2153E4">
                  <w:pPr>
                    <w:pStyle w:val="p"/>
                  </w:pPr>
                  <w:r>
                    <w:rPr>
                      <w:rStyle w:val="s0"/>
                    </w:rPr>
                    <w:t>322,9</w:t>
                  </w:r>
                </w:p>
              </w:tc>
              <w:tc>
                <w:tcPr>
                  <w:tcW w:w="193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2153E4">
                  <w:pPr>
                    <w:pStyle w:val="p"/>
                  </w:pPr>
                  <w:r>
                    <w:rPr>
                      <w:rStyle w:val="s0"/>
                    </w:rPr>
                    <w:t>280,9</w:t>
                  </w:r>
                </w:p>
              </w:tc>
              <w:tc>
                <w:tcPr>
                  <w:tcW w:w="193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2153E4">
                  <w:pPr>
                    <w:pStyle w:val="p"/>
                  </w:pPr>
                  <w:r>
                    <w:rPr>
                      <w:rStyle w:val="s0"/>
                    </w:rPr>
                    <w:t>200,4</w:t>
                  </w:r>
                </w:p>
              </w:tc>
              <w:tc>
                <w:tcPr>
                  <w:tcW w:w="193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2153E4">
                  <w:pPr>
                    <w:pStyle w:val="p"/>
                  </w:pPr>
                  <w:r>
                    <w:rPr>
                      <w:rStyle w:val="s0"/>
                    </w:rPr>
                    <w:t>200,2</w:t>
                  </w:r>
                </w:p>
              </w:tc>
              <w:tc>
                <w:tcPr>
                  <w:tcW w:w="193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2153E4">
                  <w:pPr>
                    <w:pStyle w:val="p"/>
                  </w:pPr>
                  <w:r>
                    <w:rPr>
                      <w:rStyle w:val="s0"/>
                    </w:rPr>
                    <w:t>202,0</w:t>
                  </w:r>
                </w:p>
              </w:tc>
              <w:tc>
                <w:tcPr>
                  <w:tcW w:w="236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2153E4">
                  <w:pPr>
                    <w:pStyle w:val="p"/>
                  </w:pPr>
                  <w:r>
                    <w:rPr>
                      <w:rStyle w:val="s0"/>
                    </w:rPr>
                    <w:t>1910,9</w:t>
                  </w:r>
                </w:p>
              </w:tc>
            </w:tr>
            <w:tr w:rsidR="00000000">
              <w:trPr>
                <w:jc w:val="center"/>
              </w:trPr>
              <w:tc>
                <w:tcPr>
                  <w:tcW w:w="46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2153E4">
                  <w:pPr>
                    <w:pStyle w:val="p"/>
                  </w:pPr>
                  <w:r>
                    <w:rPr>
                      <w:rStyle w:val="s0"/>
                    </w:rPr>
                    <w:t>Всего</w:t>
                  </w:r>
                </w:p>
              </w:tc>
              <w:tc>
                <w:tcPr>
                  <w:tcW w:w="233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2153E4">
                  <w:pPr>
                    <w:pStyle w:val="p"/>
                  </w:pPr>
                  <w:r>
                    <w:rPr>
                      <w:rStyle w:val="s0"/>
                    </w:rPr>
                    <w:t>1389,7</w:t>
                  </w:r>
                </w:p>
              </w:tc>
              <w:tc>
                <w:tcPr>
                  <w:tcW w:w="193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2153E4">
                  <w:pPr>
                    <w:pStyle w:val="p"/>
                  </w:pPr>
                  <w:r>
                    <w:rPr>
                      <w:rStyle w:val="s0"/>
                    </w:rPr>
                    <w:t>992,7</w:t>
                  </w:r>
                </w:p>
              </w:tc>
              <w:tc>
                <w:tcPr>
                  <w:tcW w:w="193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2153E4">
                  <w:pPr>
                    <w:pStyle w:val="p"/>
                  </w:pPr>
                  <w:r>
                    <w:rPr>
                      <w:rStyle w:val="s0"/>
                    </w:rPr>
                    <w:t>905,6</w:t>
                  </w:r>
                </w:p>
              </w:tc>
              <w:tc>
                <w:tcPr>
                  <w:tcW w:w="193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2153E4">
                  <w:pPr>
                    <w:pStyle w:val="p"/>
                  </w:pPr>
                  <w:r>
                    <w:rPr>
                      <w:rStyle w:val="s0"/>
                    </w:rPr>
                    <w:t>734,9</w:t>
                  </w:r>
                </w:p>
              </w:tc>
              <w:tc>
                <w:tcPr>
                  <w:tcW w:w="193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2153E4">
                  <w:pPr>
                    <w:pStyle w:val="p"/>
                  </w:pPr>
                  <w:r>
                    <w:rPr>
                      <w:rStyle w:val="s0"/>
                    </w:rPr>
                    <w:t>623,5</w:t>
                  </w:r>
                </w:p>
              </w:tc>
              <w:tc>
                <w:tcPr>
                  <w:tcW w:w="193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2153E4">
                  <w:pPr>
                    <w:pStyle w:val="p"/>
                  </w:pPr>
                  <w:r>
                    <w:rPr>
                      <w:rStyle w:val="s0"/>
                    </w:rPr>
                    <w:t>619,2</w:t>
                  </w:r>
                </w:p>
              </w:tc>
              <w:tc>
                <w:tcPr>
                  <w:tcW w:w="236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2153E4">
                  <w:pPr>
                    <w:pStyle w:val="p"/>
                  </w:pPr>
                  <w:r>
                    <w:rPr>
                      <w:rStyle w:val="s0"/>
                    </w:rPr>
                    <w:t>5 265,6</w:t>
                  </w:r>
                </w:p>
              </w:tc>
            </w:tr>
          </w:tbl>
          <w:p w:rsidR="00000000" w:rsidRDefault="002153E4">
            <w:pPr>
              <w:pStyle w:val="p"/>
            </w:pPr>
            <w:r>
              <w:rPr>
                <w:rStyle w:val="s0"/>
              </w:rPr>
              <w:t> </w:t>
            </w:r>
          </w:p>
          <w:p w:rsidR="00000000" w:rsidRDefault="002153E4">
            <w:pPr>
              <w:pStyle w:val="p"/>
            </w:pPr>
            <w:r>
              <w:rPr>
                <w:rStyle w:val="s0"/>
              </w:rPr>
              <w:t>*Объем средств будет уточняться по мере утверждения и уточнения республиканского и местных бюджетов на соответствующие финансовые годы в соответствии с законодательством Республики Казахстан.</w:t>
            </w:r>
          </w:p>
        </w:tc>
      </w:tr>
    </w:tbl>
    <w:p w:rsidR="00000000" w:rsidRDefault="002153E4">
      <w:pPr>
        <w:pStyle w:val="pr"/>
      </w:pPr>
      <w:r>
        <w:rPr>
          <w:rStyle w:val="s0"/>
        </w:rPr>
        <w:t>»;</w:t>
      </w:r>
    </w:p>
    <w:p w:rsidR="00000000" w:rsidRDefault="002153E4">
      <w:pPr>
        <w:pStyle w:val="pj"/>
      </w:pPr>
      <w:r>
        <w:rPr>
          <w:rStyle w:val="s0"/>
        </w:rPr>
        <w:t xml:space="preserve">в </w:t>
      </w:r>
      <w:hyperlink r:id="rId10" w:anchor="sub_id=5010100" w:history="1">
        <w:r>
          <w:rPr>
            <w:rStyle w:val="a4"/>
          </w:rPr>
          <w:t>подразделе 5.1.1</w:t>
        </w:r>
      </w:hyperlink>
      <w:r>
        <w:rPr>
          <w:rStyle w:val="s0"/>
        </w:rPr>
        <w:t>:</w:t>
      </w:r>
    </w:p>
    <w:p w:rsidR="00000000" w:rsidRDefault="002153E4">
      <w:pPr>
        <w:pStyle w:val="pj"/>
      </w:pPr>
      <w:r>
        <w:rPr>
          <w:rStyle w:val="s0"/>
        </w:rPr>
        <w:t>части восьмую и девятую пункта 2 изложить в следующей редакции:</w:t>
      </w:r>
    </w:p>
    <w:p w:rsidR="00000000" w:rsidRDefault="002153E4">
      <w:pPr>
        <w:pStyle w:val="pj"/>
      </w:pPr>
      <w:r>
        <w:rPr>
          <w:rStyle w:val="s0"/>
        </w:rPr>
        <w:t>«Уполномоченный орган доводит до ЖССБК распределение лимитов кредитования по регионам про</w:t>
      </w:r>
      <w:r>
        <w:rPr>
          <w:rStyle w:val="s0"/>
        </w:rPr>
        <w:t>порционально количеству очередников предусмотренных категорий.</w:t>
      </w:r>
    </w:p>
    <w:p w:rsidR="00000000" w:rsidRDefault="002153E4">
      <w:pPr>
        <w:pStyle w:val="pj"/>
      </w:pPr>
      <w:r>
        <w:rPr>
          <w:rStyle w:val="s0"/>
        </w:rPr>
        <w:t>ЖССБК публикует объявление о приеме заявлений на оценку платежеспособности от предусмотренных категорий очередников, информирует списки соответственно очередности. Подтверждение постановки очер</w:t>
      </w:r>
      <w:r>
        <w:rPr>
          <w:rStyle w:val="s0"/>
        </w:rPr>
        <w:t>едника на учет нуждающихся в жилье и наличие соответствующего статуса ЖССБК определяются посредством интеграции с Единой национальной информационной системой учета очередников.»;</w:t>
      </w:r>
    </w:p>
    <w:p w:rsidR="00000000" w:rsidRDefault="002153E4">
      <w:pPr>
        <w:pStyle w:val="pj"/>
      </w:pPr>
      <w:r>
        <w:rPr>
          <w:rStyle w:val="s0"/>
        </w:rPr>
        <w:t>в пункте 3:</w:t>
      </w:r>
    </w:p>
    <w:p w:rsidR="00000000" w:rsidRDefault="002153E4">
      <w:pPr>
        <w:pStyle w:val="pj"/>
      </w:pPr>
      <w:r>
        <w:rPr>
          <w:rStyle w:val="s0"/>
        </w:rPr>
        <w:t>часть пятую изложить в следующей редакции:</w:t>
      </w:r>
    </w:p>
    <w:p w:rsidR="00000000" w:rsidRDefault="002153E4">
      <w:pPr>
        <w:pStyle w:val="pj"/>
      </w:pPr>
      <w:r>
        <w:rPr>
          <w:rStyle w:val="s0"/>
        </w:rPr>
        <w:t>«Подтверждение постано</w:t>
      </w:r>
      <w:r>
        <w:rPr>
          <w:rStyle w:val="s0"/>
        </w:rPr>
        <w:t>вки очередника МИО на учет нуждающихся в жилье и наличие соответствующего статуса ЖССБК определяются посредством интеграции с Единой национальной информационной системой учета очередников.»;</w:t>
      </w:r>
    </w:p>
    <w:p w:rsidR="00000000" w:rsidRDefault="002153E4">
      <w:pPr>
        <w:pStyle w:val="pj"/>
      </w:pPr>
      <w:r>
        <w:rPr>
          <w:rStyle w:val="s0"/>
        </w:rPr>
        <w:t>часть шестую исключить;</w:t>
      </w:r>
    </w:p>
    <w:p w:rsidR="00000000" w:rsidRDefault="002153E4">
      <w:pPr>
        <w:pStyle w:val="pj"/>
      </w:pPr>
      <w:r>
        <w:rPr>
          <w:rStyle w:val="s0"/>
        </w:rPr>
        <w:t>дополнить пунктом 3-1 следующего содержан</w:t>
      </w:r>
      <w:r>
        <w:rPr>
          <w:rStyle w:val="s0"/>
        </w:rPr>
        <w:t>ия:</w:t>
      </w:r>
    </w:p>
    <w:p w:rsidR="00000000" w:rsidRDefault="002153E4">
      <w:pPr>
        <w:pStyle w:val="pj"/>
      </w:pPr>
      <w:r>
        <w:rPr>
          <w:rStyle w:val="s0"/>
        </w:rPr>
        <w:t>«3-1. Кредитование участников пилотного проекта «Шаңырақ»</w:t>
      </w:r>
    </w:p>
    <w:p w:rsidR="00000000" w:rsidRDefault="002153E4">
      <w:pPr>
        <w:pStyle w:val="pj"/>
      </w:pPr>
      <w:r>
        <w:rPr>
          <w:rStyle w:val="s0"/>
        </w:rPr>
        <w:t>Для кредитования участников пилотного проекта «Шаңырак» АО «НУХ «Байтерек» выделяет ЖССБК 210 млрд. тенге в рамках облигационного займа, полученного от дочерней организации НБ РК.</w:t>
      </w:r>
    </w:p>
    <w:p w:rsidR="00000000" w:rsidRDefault="002153E4">
      <w:pPr>
        <w:pStyle w:val="pj"/>
      </w:pPr>
      <w:r>
        <w:rPr>
          <w:rStyle w:val="s0"/>
        </w:rPr>
        <w:t>Период реализа</w:t>
      </w:r>
      <w:r>
        <w:rPr>
          <w:rStyle w:val="s0"/>
        </w:rPr>
        <w:t>ции пилотного проекта «Шаңырак»: 2020 - 2022 годы.</w:t>
      </w:r>
    </w:p>
    <w:p w:rsidR="00000000" w:rsidRDefault="002153E4">
      <w:pPr>
        <w:pStyle w:val="pj"/>
      </w:pPr>
      <w:r>
        <w:rPr>
          <w:rStyle w:val="s0"/>
        </w:rPr>
        <w:t>Участниками пилотного проекта «Шаңырак» могут быть граждане, состоящие на учете нуждающихся в жилище в соответствии с Законом Республики Казахстан «О жилищных отношениях» (далее - очередники МИО).</w:t>
      </w:r>
    </w:p>
    <w:p w:rsidR="00000000" w:rsidRDefault="002153E4">
      <w:pPr>
        <w:pStyle w:val="pj"/>
      </w:pPr>
      <w:r>
        <w:rPr>
          <w:rStyle w:val="s0"/>
        </w:rPr>
        <w:t>Основные</w:t>
      </w:r>
      <w:r>
        <w:rPr>
          <w:rStyle w:val="s0"/>
        </w:rPr>
        <w:t xml:space="preserve"> требования к участию:</w:t>
      </w:r>
    </w:p>
    <w:p w:rsidR="00000000" w:rsidRDefault="002153E4">
      <w:pPr>
        <w:pStyle w:val="pj"/>
      </w:pPr>
      <w:r>
        <w:rPr>
          <w:rStyle w:val="s0"/>
        </w:rPr>
        <w:t>1) гражданство Республики Казахстан;</w:t>
      </w:r>
    </w:p>
    <w:p w:rsidR="00000000" w:rsidRDefault="002153E4">
      <w:pPr>
        <w:pStyle w:val="pj"/>
      </w:pPr>
      <w:r>
        <w:rPr>
          <w:rStyle w:val="s0"/>
        </w:rPr>
        <w:t>2) наличие дохода от трудовой и (или) предпринимательской деятельности (без учета пенсионных отчислений, индивидуального подоходного налога и иных обязательных отчислений) за последние 6 (шесть) м</w:t>
      </w:r>
      <w:r>
        <w:rPr>
          <w:rStyle w:val="s0"/>
        </w:rPr>
        <w:t>есяцев на каждого члена семьи до 3,1-кратной величины прожиточного минимума включительно, утвержденного законом о республиканском бюджете на соответствующий финансовый год;</w:t>
      </w:r>
    </w:p>
    <w:p w:rsidR="00000000" w:rsidRDefault="002153E4">
      <w:pPr>
        <w:pStyle w:val="pj"/>
      </w:pPr>
      <w:r>
        <w:rPr>
          <w:rStyle w:val="s0"/>
        </w:rPr>
        <w:t>3) подтверждение платежеспособности;</w:t>
      </w:r>
    </w:p>
    <w:p w:rsidR="00000000" w:rsidRDefault="002153E4">
      <w:pPr>
        <w:pStyle w:val="pj"/>
      </w:pPr>
      <w:r>
        <w:rPr>
          <w:rStyle w:val="s0"/>
        </w:rPr>
        <w:t>4) подтверждение постановки на учет, нуждающег</w:t>
      </w:r>
      <w:r>
        <w:rPr>
          <w:rStyle w:val="s0"/>
        </w:rPr>
        <w:t>ося в жилище и статуса, нуждающегося в жилище в соответствии с Законом Республики Казахстан «О жилищных отношениях».</w:t>
      </w:r>
    </w:p>
    <w:p w:rsidR="00000000" w:rsidRDefault="002153E4">
      <w:pPr>
        <w:pStyle w:val="pj"/>
      </w:pPr>
      <w:r>
        <w:rPr>
          <w:rStyle w:val="s0"/>
        </w:rPr>
        <w:t>Подтверждение постановки очередника на учет нуждающихся в жилье и наличие соответствующего статуса ЖССБК определяются посредством интеграци</w:t>
      </w:r>
      <w:r>
        <w:rPr>
          <w:rStyle w:val="s0"/>
        </w:rPr>
        <w:t>и с Единой национальной информационной системой учета очередников.</w:t>
      </w:r>
    </w:p>
    <w:p w:rsidR="00000000" w:rsidRDefault="002153E4">
      <w:pPr>
        <w:pStyle w:val="pj"/>
      </w:pPr>
      <w:r>
        <w:rPr>
          <w:rStyle w:val="s0"/>
        </w:rPr>
        <w:t>ЖССБК публикует объявление о приеме заявлений на оценку платежеспособности и формирует списки очередников по дате постановки на учет нуждающихся в жилье.</w:t>
      </w:r>
    </w:p>
    <w:p w:rsidR="00000000" w:rsidRDefault="002153E4">
      <w:pPr>
        <w:pStyle w:val="pj"/>
      </w:pPr>
      <w:r>
        <w:rPr>
          <w:rStyle w:val="s0"/>
        </w:rPr>
        <w:t>Допускается кредитование участников</w:t>
      </w:r>
      <w:r>
        <w:rPr>
          <w:rStyle w:val="s0"/>
        </w:rPr>
        <w:t xml:space="preserve"> Программы, приобретающих кредитное жилье МИО в рамках ранее сформированных пулов по балльной системе на условиях кредитования, предусмотренных пунктом 3 настоящего подраздела.</w:t>
      </w:r>
    </w:p>
    <w:p w:rsidR="00000000" w:rsidRDefault="002153E4">
      <w:pPr>
        <w:pStyle w:val="pj"/>
      </w:pPr>
      <w:r>
        <w:rPr>
          <w:rStyle w:val="s0"/>
        </w:rPr>
        <w:t>Порядок и условия реализации и распределения жилья определяются в соответствии с настоящей Программой и внутренними документами ЖССБК.</w:t>
      </w:r>
    </w:p>
    <w:p w:rsidR="00000000" w:rsidRDefault="002153E4">
      <w:pPr>
        <w:pStyle w:val="pj"/>
      </w:pPr>
      <w:r>
        <w:rPr>
          <w:rStyle w:val="s0"/>
        </w:rPr>
        <w:t>Перечень необходимых документов определяется внутренними документами ЖССБК.</w:t>
      </w:r>
    </w:p>
    <w:p w:rsidR="00000000" w:rsidRDefault="002153E4">
      <w:pPr>
        <w:pStyle w:val="pj"/>
      </w:pPr>
      <w:r>
        <w:rPr>
          <w:rStyle w:val="s0"/>
        </w:rPr>
        <w:t>Условия кредитования:</w:t>
      </w:r>
    </w:p>
    <w:p w:rsidR="00000000" w:rsidRDefault="002153E4">
      <w:pPr>
        <w:pStyle w:val="pj"/>
      </w:pPr>
      <w:r>
        <w:rPr>
          <w:rStyle w:val="s0"/>
        </w:rPr>
        <w:t>1) цель займа - приобре</w:t>
      </w:r>
      <w:r>
        <w:rPr>
          <w:rStyle w:val="s0"/>
        </w:rPr>
        <w:t>тение жилья на первичном рынке (жилье частных застройщиков, в том числе в объектах жилищного строительства, обеспеченных гарантией дочерней организации АО «НУХ «Байтерек», кредитное жилье МИО);</w:t>
      </w:r>
    </w:p>
    <w:p w:rsidR="00000000" w:rsidRDefault="002153E4">
      <w:pPr>
        <w:pStyle w:val="pj"/>
      </w:pPr>
      <w:r>
        <w:rPr>
          <w:rStyle w:val="s0"/>
        </w:rPr>
        <w:t>2) ставка вознаграждения - 5 % (пять процентов) годовых;</w:t>
      </w:r>
    </w:p>
    <w:p w:rsidR="00000000" w:rsidRDefault="002153E4">
      <w:pPr>
        <w:pStyle w:val="pj"/>
      </w:pPr>
      <w:r>
        <w:rPr>
          <w:rStyle w:val="s0"/>
        </w:rPr>
        <w:t>3) ср</w:t>
      </w:r>
      <w:r>
        <w:rPr>
          <w:rStyle w:val="s0"/>
        </w:rPr>
        <w:t>ок кредитования - до 20 (двадцати) лет;</w:t>
      </w:r>
    </w:p>
    <w:p w:rsidR="00000000" w:rsidRDefault="002153E4">
      <w:pPr>
        <w:pStyle w:val="pj"/>
      </w:pPr>
      <w:r>
        <w:rPr>
          <w:rStyle w:val="s0"/>
        </w:rPr>
        <w:t>4) наличие первоначального взноса на счете в ЖССБК:</w:t>
      </w:r>
    </w:p>
    <w:p w:rsidR="00000000" w:rsidRDefault="002153E4">
      <w:pPr>
        <w:pStyle w:val="pj"/>
      </w:pPr>
      <w:r>
        <w:rPr>
          <w:rStyle w:val="s0"/>
        </w:rPr>
        <w:t>по предварительным жилищным займам в размере не менее 10% (десяти процентов) от суммы займа;</w:t>
      </w:r>
    </w:p>
    <w:p w:rsidR="00000000" w:rsidRDefault="002153E4">
      <w:pPr>
        <w:pStyle w:val="pj"/>
      </w:pPr>
      <w:r>
        <w:rPr>
          <w:rStyle w:val="s0"/>
        </w:rPr>
        <w:t>по промежуточным жилищным займам в размере, определенном Законом Респуб</w:t>
      </w:r>
      <w:r>
        <w:rPr>
          <w:rStyle w:val="s0"/>
        </w:rPr>
        <w:t>лики Казахстан от 7 декабря 2000 года «О жилищных строительных сбережениях в Республике Казахстан»;</w:t>
      </w:r>
    </w:p>
    <w:p w:rsidR="00000000" w:rsidRDefault="002153E4">
      <w:pPr>
        <w:pStyle w:val="pj"/>
      </w:pPr>
      <w:r>
        <w:rPr>
          <w:rStyle w:val="s0"/>
        </w:rPr>
        <w:t>5) залоговое обеспечение - приобретаемое жилье. При недостаточности обеспечения, допускается предоставление в залог иного имущества, соответствующего требов</w:t>
      </w:r>
      <w:r>
        <w:rPr>
          <w:rStyle w:val="s0"/>
        </w:rPr>
        <w:t>аниям ЖССБК;</w:t>
      </w:r>
    </w:p>
    <w:p w:rsidR="00000000" w:rsidRDefault="002153E4">
      <w:pPr>
        <w:pStyle w:val="pj"/>
      </w:pPr>
      <w:r>
        <w:rPr>
          <w:rStyle w:val="s0"/>
        </w:rPr>
        <w:t xml:space="preserve">6) максимальная сумма займа при приобретении жилья у частных застройщиков в городах Нур-Султане, Алматы и их пригородных зонах - не более 18 млн. тенге; в городах Атырау, Актау, Актобе, Шымкенте, Туркестане и Карагандинской области - не более </w:t>
      </w:r>
      <w:r>
        <w:rPr>
          <w:rStyle w:val="s0"/>
        </w:rPr>
        <w:t>15 млн. тенге; в иных регионах - не более 12 млн. тенге;</w:t>
      </w:r>
    </w:p>
    <w:p w:rsidR="00000000" w:rsidRDefault="002153E4">
      <w:pPr>
        <w:pStyle w:val="pj"/>
      </w:pPr>
      <w:r>
        <w:rPr>
          <w:rStyle w:val="s0"/>
        </w:rPr>
        <w:t>7) максимальная сумма займа по кредитному жилью МИО определяется предельным размером стоимости за 1 кв.м., предусмотренным подразделом 5.1.2. настоящей Программы.</w:t>
      </w:r>
    </w:p>
    <w:p w:rsidR="00000000" w:rsidRDefault="002153E4">
      <w:pPr>
        <w:pStyle w:val="pj"/>
      </w:pPr>
      <w:r>
        <w:rPr>
          <w:rStyle w:val="s0"/>
        </w:rPr>
        <w:t>МИО в рамках мер, определенных подра</w:t>
      </w:r>
      <w:r>
        <w:rPr>
          <w:rStyle w:val="s0"/>
        </w:rPr>
        <w:t>зделом 5.1.3 настоящей Программы, вправе согласовать с частными застройщиками на основании соглашений о сотрудничестве реализацию определенного объема первичного жилья очередникам МИО.»;</w:t>
      </w:r>
    </w:p>
    <w:p w:rsidR="00000000" w:rsidRDefault="002153E4">
      <w:pPr>
        <w:pStyle w:val="pj"/>
      </w:pPr>
      <w:r>
        <w:rPr>
          <w:rStyle w:val="s0"/>
        </w:rPr>
        <w:t xml:space="preserve">в </w:t>
      </w:r>
      <w:hyperlink r:id="rId11" w:anchor="sub_id=5010300" w:history="1">
        <w:r>
          <w:rPr>
            <w:rStyle w:val="a4"/>
          </w:rPr>
          <w:t>подразделе 5.1.3:</w:t>
        </w:r>
      </w:hyperlink>
    </w:p>
    <w:p w:rsidR="00000000" w:rsidRDefault="002153E4">
      <w:pPr>
        <w:pStyle w:val="pj"/>
      </w:pPr>
      <w:r>
        <w:rPr>
          <w:rStyle w:val="s0"/>
        </w:rPr>
        <w:t>пункт 2.4 дополнить частями следующего содержания:</w:t>
      </w:r>
    </w:p>
    <w:p w:rsidR="00000000" w:rsidRDefault="002153E4">
      <w:pPr>
        <w:pStyle w:val="pj"/>
      </w:pPr>
      <w:r>
        <w:rPr>
          <w:rStyle w:val="s0"/>
        </w:rPr>
        <w:t>«Программа рефинансирования ипотечных жилищных займов (ипотечных займов), утвержденная постановлением правления НБ РК от 24 апреля 2015 года № 69 (далее - Программа рефинансирования), предусматривает механизм приобретения дочерней организацией АО «НУХ «Бай</w:t>
      </w:r>
      <w:r>
        <w:rPr>
          <w:rStyle w:val="s0"/>
        </w:rPr>
        <w:t>терек» у ликвидационных комиссий БВУ, АО «БТА Банк» залогового жилья, принятого на баланс при взыскании задолженности по займам физических лиц, бывших собственников жилья (далее - физические лица).</w:t>
      </w:r>
    </w:p>
    <w:p w:rsidR="00000000" w:rsidRDefault="002153E4">
      <w:pPr>
        <w:pStyle w:val="pj"/>
      </w:pPr>
      <w:r>
        <w:rPr>
          <w:rStyle w:val="s0"/>
        </w:rPr>
        <w:t>Приобретенное дочерней организацией АО «НУХ «Байтерек» жил</w:t>
      </w:r>
      <w:r>
        <w:rPr>
          <w:rStyle w:val="s0"/>
        </w:rPr>
        <w:t>ье предоставляется физическим лицам в долгосрочную аренду с правом выкупа на условиях Программы рефинансирования и настоящей Программы.»;</w:t>
      </w:r>
    </w:p>
    <w:p w:rsidR="00000000" w:rsidRDefault="002153E4">
      <w:pPr>
        <w:pStyle w:val="pj"/>
      </w:pPr>
      <w:hyperlink r:id="rId12" w:anchor="sub_id=5050400" w:history="1">
        <w:r>
          <w:rPr>
            <w:rStyle w:val="a4"/>
          </w:rPr>
          <w:t>подраздел 5.5.4</w:t>
        </w:r>
      </w:hyperlink>
      <w:r>
        <w:rPr>
          <w:rStyle w:val="s0"/>
        </w:rPr>
        <w:t xml:space="preserve"> дополнить частью </w:t>
      </w:r>
      <w:r>
        <w:rPr>
          <w:rStyle w:val="s0"/>
        </w:rPr>
        <w:t>следующего содержания:</w:t>
      </w:r>
    </w:p>
    <w:p w:rsidR="00000000" w:rsidRDefault="002153E4">
      <w:pPr>
        <w:pStyle w:val="pj"/>
      </w:pPr>
      <w:r>
        <w:rPr>
          <w:rStyle w:val="s0"/>
        </w:rPr>
        <w:t>«В рамках развития рынка строительных материалов АО «ФНБ «Самрук-Қазына» совместно с крупными строительными компаниями планирует создание новых профильных производств, а также модернизацию существующих производственных предприятий.»;</w:t>
      </w:r>
    </w:p>
    <w:p w:rsidR="00000000" w:rsidRDefault="002153E4">
      <w:pPr>
        <w:pStyle w:val="pj"/>
      </w:pPr>
      <w:hyperlink r:id="rId13" w:anchor="sub_id=600" w:history="1">
        <w:r>
          <w:rPr>
            <w:rStyle w:val="a4"/>
          </w:rPr>
          <w:t>раздел</w:t>
        </w:r>
      </w:hyperlink>
      <w:r>
        <w:rPr>
          <w:rStyle w:val="s0"/>
        </w:rPr>
        <w:t xml:space="preserve"> «6. Необходимые ресурсы» изложить в следующей редакции:</w:t>
      </w:r>
    </w:p>
    <w:p w:rsidR="00000000" w:rsidRDefault="002153E4">
      <w:pPr>
        <w:pStyle w:val="pj"/>
      </w:pPr>
      <w:r>
        <w:rPr>
          <w:rStyle w:val="s0"/>
        </w:rPr>
        <w:t>«6. Необходимые ресурсы</w:t>
      </w:r>
    </w:p>
    <w:p w:rsidR="00000000" w:rsidRDefault="002153E4">
      <w:pPr>
        <w:pStyle w:val="pj"/>
      </w:pPr>
      <w:r>
        <w:rPr>
          <w:rStyle w:val="s0"/>
        </w:rPr>
        <w:t>Финансирование Государственной программы будет осуществляться за счет и в пределах сред</w:t>
      </w:r>
      <w:r>
        <w:rPr>
          <w:rStyle w:val="s0"/>
        </w:rPr>
        <w:t>ств республиканского и местных бюджетов, а также иных источников, не запрещенных законодательством Республики Казахстан.</w:t>
      </w:r>
    </w:p>
    <w:p w:rsidR="00000000" w:rsidRDefault="002153E4">
      <w:pPr>
        <w:pStyle w:val="pj"/>
      </w:pPr>
      <w:r>
        <w:rPr>
          <w:rStyle w:val="s0"/>
        </w:rPr>
        <w:t>Объемы финансирования Государственной программы составляют:</w:t>
      </w:r>
    </w:p>
    <w:p w:rsidR="00000000" w:rsidRDefault="002153E4">
      <w:pPr>
        <w:pStyle w:val="pj"/>
      </w:pPr>
      <w:r>
        <w:rPr>
          <w:rStyle w:val="s0"/>
        </w:rPr>
        <w:t> </w:t>
      </w:r>
    </w:p>
    <w:p w:rsidR="00000000" w:rsidRDefault="002153E4">
      <w:pPr>
        <w:pStyle w:val="pr"/>
      </w:pPr>
      <w:r>
        <w:rPr>
          <w:rStyle w:val="s0"/>
        </w:rPr>
        <w:t>млрд тенге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08"/>
        <w:gridCol w:w="1232"/>
        <w:gridCol w:w="1048"/>
        <w:gridCol w:w="1048"/>
        <w:gridCol w:w="1049"/>
        <w:gridCol w:w="1049"/>
        <w:gridCol w:w="1049"/>
        <w:gridCol w:w="1288"/>
      </w:tblGrid>
      <w:tr w:rsidR="00000000">
        <w:tc>
          <w:tcPr>
            <w:tcW w:w="66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3E4">
            <w:pPr>
              <w:rPr>
                <w:rFonts w:eastAsia="Times New Roman"/>
              </w:rPr>
            </w:pPr>
          </w:p>
        </w:tc>
        <w:tc>
          <w:tcPr>
            <w:tcW w:w="4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3E4">
            <w:pPr>
              <w:pStyle w:val="pc"/>
            </w:pPr>
            <w:r>
              <w:rPr>
                <w:rStyle w:val="s0"/>
              </w:rPr>
              <w:t>2020 год</w:t>
            </w:r>
          </w:p>
        </w:tc>
        <w:tc>
          <w:tcPr>
            <w:tcW w:w="3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3E4">
            <w:pPr>
              <w:pStyle w:val="pc"/>
            </w:pPr>
            <w:r>
              <w:rPr>
                <w:rStyle w:val="s0"/>
              </w:rPr>
              <w:t>2021 год</w:t>
            </w:r>
          </w:p>
        </w:tc>
        <w:tc>
          <w:tcPr>
            <w:tcW w:w="3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3E4">
            <w:pPr>
              <w:pStyle w:val="pc"/>
            </w:pPr>
            <w:r>
              <w:rPr>
                <w:rStyle w:val="s0"/>
              </w:rPr>
              <w:t>2022 год</w:t>
            </w:r>
          </w:p>
        </w:tc>
        <w:tc>
          <w:tcPr>
            <w:tcW w:w="3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3E4">
            <w:pPr>
              <w:pStyle w:val="pc"/>
            </w:pPr>
            <w:r>
              <w:rPr>
                <w:rStyle w:val="s0"/>
              </w:rPr>
              <w:t>2023 год</w:t>
            </w:r>
          </w:p>
        </w:tc>
        <w:tc>
          <w:tcPr>
            <w:tcW w:w="3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3E4">
            <w:pPr>
              <w:pStyle w:val="pc"/>
            </w:pPr>
            <w:r>
              <w:rPr>
                <w:rStyle w:val="s0"/>
              </w:rPr>
              <w:t>2024 год</w:t>
            </w:r>
          </w:p>
        </w:tc>
        <w:tc>
          <w:tcPr>
            <w:tcW w:w="3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3E4">
            <w:pPr>
              <w:pStyle w:val="pc"/>
            </w:pPr>
            <w:r>
              <w:rPr>
                <w:rStyle w:val="s0"/>
              </w:rPr>
              <w:t>2025 год</w:t>
            </w:r>
          </w:p>
        </w:tc>
        <w:tc>
          <w:tcPr>
            <w:tcW w:w="4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3E4">
            <w:pPr>
              <w:pStyle w:val="pc"/>
            </w:pPr>
            <w:r>
              <w:rPr>
                <w:rStyle w:val="s0"/>
              </w:rPr>
              <w:t>Всего</w:t>
            </w:r>
          </w:p>
        </w:tc>
      </w:tr>
      <w:tr w:rsidR="00000000">
        <w:tc>
          <w:tcPr>
            <w:tcW w:w="6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3E4">
            <w:pPr>
              <w:pStyle w:val="p"/>
            </w:pPr>
            <w:r>
              <w:rPr>
                <w:rStyle w:val="s0"/>
              </w:rPr>
              <w:t>РБ*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3E4">
            <w:pPr>
              <w:pStyle w:val="p"/>
            </w:pPr>
            <w:r>
              <w:rPr>
                <w:rStyle w:val="s0"/>
              </w:rPr>
              <w:t>652,6</w:t>
            </w:r>
          </w:p>
        </w:tc>
        <w:tc>
          <w:tcPr>
            <w:tcW w:w="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3E4">
            <w:pPr>
              <w:pStyle w:val="p"/>
            </w:pPr>
            <w:r>
              <w:rPr>
                <w:rStyle w:val="s0"/>
              </w:rPr>
              <w:t>637,2</w:t>
            </w:r>
          </w:p>
        </w:tc>
        <w:tc>
          <w:tcPr>
            <w:tcW w:w="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3E4">
            <w:pPr>
              <w:pStyle w:val="p"/>
            </w:pPr>
            <w:r>
              <w:rPr>
                <w:rStyle w:val="s0"/>
              </w:rPr>
              <w:t>592,5</w:t>
            </w:r>
          </w:p>
        </w:tc>
        <w:tc>
          <w:tcPr>
            <w:tcW w:w="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3E4">
            <w:pPr>
              <w:pStyle w:val="p"/>
            </w:pPr>
            <w:r>
              <w:rPr>
                <w:rStyle w:val="s0"/>
              </w:rPr>
              <w:t>505,6</w:t>
            </w:r>
          </w:p>
        </w:tc>
        <w:tc>
          <w:tcPr>
            <w:tcW w:w="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3E4">
            <w:pPr>
              <w:pStyle w:val="p"/>
            </w:pPr>
            <w:r>
              <w:rPr>
                <w:rStyle w:val="s0"/>
              </w:rPr>
              <w:t>394,2</w:t>
            </w:r>
          </w:p>
        </w:tc>
        <w:tc>
          <w:tcPr>
            <w:tcW w:w="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3E4">
            <w:pPr>
              <w:pStyle w:val="p"/>
            </w:pPr>
            <w:r>
              <w:rPr>
                <w:rStyle w:val="s0"/>
              </w:rPr>
              <w:t>388,3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3E4">
            <w:pPr>
              <w:pStyle w:val="p"/>
            </w:pPr>
            <w:r>
              <w:rPr>
                <w:rStyle w:val="s0"/>
              </w:rPr>
              <w:t>3 170,4</w:t>
            </w:r>
          </w:p>
        </w:tc>
      </w:tr>
      <w:tr w:rsidR="00000000">
        <w:tc>
          <w:tcPr>
            <w:tcW w:w="6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3E4">
            <w:pPr>
              <w:pStyle w:val="p"/>
            </w:pPr>
            <w:r>
              <w:rPr>
                <w:rStyle w:val="s0"/>
              </w:rPr>
              <w:t>МБ*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3E4">
            <w:pPr>
              <w:pStyle w:val="p"/>
            </w:pPr>
            <w:r>
              <w:rPr>
                <w:rStyle w:val="s0"/>
              </w:rPr>
              <w:t>32,6</w:t>
            </w:r>
          </w:p>
        </w:tc>
        <w:tc>
          <w:tcPr>
            <w:tcW w:w="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3E4">
            <w:pPr>
              <w:pStyle w:val="p"/>
            </w:pPr>
            <w:r>
              <w:rPr>
                <w:rStyle w:val="s0"/>
              </w:rPr>
              <w:t>32,6</w:t>
            </w:r>
          </w:p>
        </w:tc>
        <w:tc>
          <w:tcPr>
            <w:tcW w:w="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3E4">
            <w:pPr>
              <w:pStyle w:val="p"/>
            </w:pPr>
            <w:r>
              <w:rPr>
                <w:rStyle w:val="s0"/>
              </w:rPr>
              <w:t>32,2</w:t>
            </w:r>
          </w:p>
        </w:tc>
        <w:tc>
          <w:tcPr>
            <w:tcW w:w="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3E4">
            <w:pPr>
              <w:pStyle w:val="p"/>
            </w:pPr>
            <w:r>
              <w:rPr>
                <w:rStyle w:val="s0"/>
              </w:rPr>
              <w:t>28,9</w:t>
            </w:r>
          </w:p>
        </w:tc>
        <w:tc>
          <w:tcPr>
            <w:tcW w:w="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3E4">
            <w:pPr>
              <w:pStyle w:val="p"/>
            </w:pPr>
            <w:r>
              <w:rPr>
                <w:rStyle w:val="s0"/>
              </w:rPr>
              <w:t>29,1</w:t>
            </w:r>
          </w:p>
        </w:tc>
        <w:tc>
          <w:tcPr>
            <w:tcW w:w="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3E4">
            <w:pPr>
              <w:pStyle w:val="p"/>
            </w:pPr>
            <w:r>
              <w:rPr>
                <w:rStyle w:val="s0"/>
              </w:rPr>
              <w:t>28,9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3E4">
            <w:pPr>
              <w:pStyle w:val="p"/>
            </w:pPr>
            <w:r>
              <w:rPr>
                <w:rStyle w:val="s0"/>
              </w:rPr>
              <w:t>184,3</w:t>
            </w:r>
          </w:p>
        </w:tc>
      </w:tr>
      <w:tr w:rsidR="00000000">
        <w:tc>
          <w:tcPr>
            <w:tcW w:w="6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3E4">
            <w:pPr>
              <w:pStyle w:val="p"/>
            </w:pPr>
            <w:r>
              <w:rPr>
                <w:rStyle w:val="s0"/>
              </w:rPr>
              <w:t>Внебюджетные средства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3E4">
            <w:pPr>
              <w:pStyle w:val="p"/>
            </w:pPr>
            <w:r>
              <w:rPr>
                <w:rStyle w:val="s0"/>
              </w:rPr>
              <w:t>704,5</w:t>
            </w:r>
          </w:p>
        </w:tc>
        <w:tc>
          <w:tcPr>
            <w:tcW w:w="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3E4">
            <w:pPr>
              <w:pStyle w:val="p"/>
            </w:pPr>
            <w:r>
              <w:rPr>
                <w:rStyle w:val="s0"/>
              </w:rPr>
              <w:t>322,9</w:t>
            </w:r>
          </w:p>
        </w:tc>
        <w:tc>
          <w:tcPr>
            <w:tcW w:w="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3E4">
            <w:pPr>
              <w:pStyle w:val="p"/>
            </w:pPr>
            <w:r>
              <w:rPr>
                <w:rStyle w:val="s0"/>
              </w:rPr>
              <w:t>280,9</w:t>
            </w:r>
          </w:p>
        </w:tc>
        <w:tc>
          <w:tcPr>
            <w:tcW w:w="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3E4">
            <w:pPr>
              <w:pStyle w:val="p"/>
            </w:pPr>
            <w:r>
              <w:rPr>
                <w:rStyle w:val="s0"/>
              </w:rPr>
              <w:t>200,4</w:t>
            </w:r>
          </w:p>
        </w:tc>
        <w:tc>
          <w:tcPr>
            <w:tcW w:w="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3E4">
            <w:pPr>
              <w:pStyle w:val="p"/>
            </w:pPr>
            <w:r>
              <w:rPr>
                <w:rStyle w:val="s0"/>
              </w:rPr>
              <w:t>200,2</w:t>
            </w:r>
          </w:p>
        </w:tc>
        <w:tc>
          <w:tcPr>
            <w:tcW w:w="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3E4">
            <w:pPr>
              <w:pStyle w:val="p"/>
            </w:pPr>
            <w:r>
              <w:rPr>
                <w:rStyle w:val="s0"/>
              </w:rPr>
              <w:t>202,0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3E4">
            <w:pPr>
              <w:pStyle w:val="p"/>
            </w:pPr>
            <w:r>
              <w:rPr>
                <w:rStyle w:val="s0"/>
              </w:rPr>
              <w:t>1910,9</w:t>
            </w:r>
          </w:p>
        </w:tc>
      </w:tr>
      <w:tr w:rsidR="00000000">
        <w:tc>
          <w:tcPr>
            <w:tcW w:w="6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3E4">
            <w:pPr>
              <w:pStyle w:val="p"/>
            </w:pPr>
            <w:r>
              <w:rPr>
                <w:rStyle w:val="s0"/>
              </w:rPr>
              <w:t>Всего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3E4">
            <w:pPr>
              <w:pStyle w:val="p"/>
            </w:pPr>
            <w:r>
              <w:rPr>
                <w:rStyle w:val="s0"/>
              </w:rPr>
              <w:t>1389,7</w:t>
            </w:r>
          </w:p>
        </w:tc>
        <w:tc>
          <w:tcPr>
            <w:tcW w:w="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3E4">
            <w:pPr>
              <w:pStyle w:val="p"/>
            </w:pPr>
            <w:r>
              <w:rPr>
                <w:rStyle w:val="s0"/>
              </w:rPr>
              <w:t>992,7</w:t>
            </w:r>
          </w:p>
        </w:tc>
        <w:tc>
          <w:tcPr>
            <w:tcW w:w="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3E4">
            <w:pPr>
              <w:pStyle w:val="p"/>
            </w:pPr>
            <w:r>
              <w:rPr>
                <w:rStyle w:val="s0"/>
              </w:rPr>
              <w:t>905,6</w:t>
            </w:r>
          </w:p>
        </w:tc>
        <w:tc>
          <w:tcPr>
            <w:tcW w:w="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3E4">
            <w:pPr>
              <w:pStyle w:val="p"/>
            </w:pPr>
            <w:r>
              <w:rPr>
                <w:rStyle w:val="s0"/>
              </w:rPr>
              <w:t>734,9</w:t>
            </w:r>
          </w:p>
        </w:tc>
        <w:tc>
          <w:tcPr>
            <w:tcW w:w="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3E4">
            <w:pPr>
              <w:pStyle w:val="p"/>
            </w:pPr>
            <w:r>
              <w:rPr>
                <w:rStyle w:val="s0"/>
              </w:rPr>
              <w:t>623,5</w:t>
            </w:r>
          </w:p>
        </w:tc>
        <w:tc>
          <w:tcPr>
            <w:tcW w:w="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3E4">
            <w:pPr>
              <w:pStyle w:val="p"/>
            </w:pPr>
            <w:r>
              <w:rPr>
                <w:rStyle w:val="s0"/>
              </w:rPr>
              <w:t>619,2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3E4">
            <w:pPr>
              <w:pStyle w:val="p"/>
            </w:pPr>
            <w:r>
              <w:rPr>
                <w:rStyle w:val="s0"/>
              </w:rPr>
              <w:t>5 265,6</w:t>
            </w:r>
          </w:p>
        </w:tc>
      </w:tr>
    </w:tbl>
    <w:p w:rsidR="00000000" w:rsidRDefault="002153E4">
      <w:pPr>
        <w:pStyle w:val="pj"/>
      </w:pPr>
      <w:r>
        <w:rPr>
          <w:rStyle w:val="s0"/>
        </w:rPr>
        <w:t> </w:t>
      </w:r>
    </w:p>
    <w:p w:rsidR="00000000" w:rsidRDefault="002153E4">
      <w:pPr>
        <w:pStyle w:val="pj"/>
      </w:pPr>
      <w:r>
        <w:rPr>
          <w:rStyle w:val="s0"/>
        </w:rPr>
        <w:t>*Объем средств будет уточняться по мере утверждения и уточнения республиканского и местных бюджетов на соответствующие финансовые годы в соответствии с законодательством Республики Казахстан».</w:t>
      </w:r>
    </w:p>
    <w:p w:rsidR="00000000" w:rsidRDefault="002153E4">
      <w:pPr>
        <w:pStyle w:val="pj"/>
      </w:pPr>
      <w:r>
        <w:rPr>
          <w:rStyle w:val="s0"/>
        </w:rPr>
        <w:t>2. Настоящее постановление вводится в действие со дня его подписания.</w:t>
      </w:r>
    </w:p>
    <w:p w:rsidR="00000000" w:rsidRDefault="002153E4">
      <w:pPr>
        <w:pStyle w:val="pj"/>
      </w:pPr>
      <w:r>
        <w:rPr>
          <w:rStyle w:val="s0"/>
        </w:rPr>
        <w:t> </w:t>
      </w:r>
    </w:p>
    <w:p w:rsidR="00000000" w:rsidRDefault="002153E4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96"/>
        <w:gridCol w:w="3289"/>
      </w:tblGrid>
      <w:tr w:rsidR="00000000">
        <w:trPr>
          <w:trHeight w:val="30"/>
        </w:trPr>
        <w:tc>
          <w:tcPr>
            <w:tcW w:w="3248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2153E4">
            <w:pPr>
              <w:pStyle w:val="p"/>
            </w:pPr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2153E4">
            <w:pPr>
              <w:pStyle w:val="p"/>
              <w:spacing w:line="30" w:lineRule="atLeast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175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2153E4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153E4">
            <w:pPr>
              <w:pStyle w:val="pr"/>
              <w:spacing w:line="30" w:lineRule="atLeast"/>
            </w:pPr>
            <w:r>
              <w:rPr>
                <w:rStyle w:val="s0"/>
                <w:b/>
                <w:bCs/>
              </w:rPr>
              <w:t>А. Мамин</w:t>
            </w:r>
          </w:p>
        </w:tc>
      </w:tr>
    </w:tbl>
    <w:p w:rsidR="00000000" w:rsidRDefault="002153E4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53E4" w:rsidRDefault="002153E4" w:rsidP="002153E4">
      <w:r>
        <w:separator/>
      </w:r>
    </w:p>
  </w:endnote>
  <w:endnote w:type="continuationSeparator" w:id="0">
    <w:p w:rsidR="002153E4" w:rsidRDefault="002153E4" w:rsidP="002153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3E4" w:rsidRDefault="002153E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3E4" w:rsidRDefault="002153E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3E4" w:rsidRDefault="002153E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53E4" w:rsidRDefault="002153E4" w:rsidP="002153E4">
      <w:r>
        <w:separator/>
      </w:r>
    </w:p>
  </w:footnote>
  <w:footnote w:type="continuationSeparator" w:id="0">
    <w:p w:rsidR="002153E4" w:rsidRDefault="002153E4" w:rsidP="002153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3E4" w:rsidRDefault="002153E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3E4" w:rsidRDefault="002153E4" w:rsidP="002153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53E4" w:rsidRDefault="002153E4" w:rsidP="002153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18 августа 2020 года № 520 «О внесении изменений и дополнений в постановление Правительства Республики Казахстан от 31 декабря 2019 года № 1054 «Об утверждении Государственной программы жилищно-коммунального развития «Нұрлы жер» на 2020 - 2025 годы» (утратило силу)</w:t>
    </w:r>
  </w:p>
  <w:p w:rsidR="002153E4" w:rsidRPr="002153E4" w:rsidRDefault="002153E4" w:rsidP="002153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23.09.2022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3E4" w:rsidRDefault="002153E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53E4"/>
    <w:rsid w:val="002153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153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53E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53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53E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153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53E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53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53E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384639" TargetMode="External"/><Relationship Id="rId13" Type="http://schemas.openxmlformats.org/officeDocument/2006/relationships/hyperlink" Target="http://online.zakon.kz/Document/?doc_id=3938463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8529458" TargetMode="External"/><Relationship Id="rId12" Type="http://schemas.openxmlformats.org/officeDocument/2006/relationships/hyperlink" Target="http://online.zakon.kz/Document/?doc_id=3938463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38463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9384639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38463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1287</Words>
  <Characters>7338</Characters>
  <Application>Microsoft Office Word</Application>
  <DocSecurity>0</DocSecurity>
  <Lines>61</Lines>
  <Paragraphs>17</Paragraphs>
  <ScaleCrop>false</ScaleCrop>
  <Company/>
  <LinksUpToDate>false</LinksUpToDate>
  <CharactersWithSpaces>8608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18 августа 2020 года № 520 «О внесении изменений и дополнений в постановление Правительства Республики Казахстан от 31 декабря 2019 года № 1054 «Об утверждении Государственной программы жилищно-коммунального развития «Нұрлы жер» на 2020 - 2025 годы»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2023-11-01T08:58:00Z</dcterms:created>
  <dcterms:modified xsi:type="dcterms:W3CDTF">2023-11-01T08:58:00Z</dcterms:modified>
</cp:coreProperties>
</file>