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5E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1129-2013 «Масло подсолнечное. Технические условия» (с поправкой)</w:t>
      </w:r>
    </w:p>
    <w:p w:rsidR="00000000" w:rsidRDefault="006B5E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5E64">
      <w:pPr>
        <w:pStyle w:val="a3"/>
        <w:ind w:firstLine="400"/>
        <w:jc w:val="right"/>
      </w:pPr>
      <w:r>
        <w:rPr>
          <w:rFonts w:ascii="Times New Roman" w:hAnsi="Times New Roman" w:cs="Times New Roman"/>
          <w:sz w:val="24"/>
          <w:szCs w:val="24"/>
        </w:rPr>
        <w:t>Группа Н62</w:t>
      </w:r>
    </w:p>
    <w:p w:rsidR="00000000" w:rsidRDefault="006B5E64">
      <w:pPr>
        <w:pStyle w:val="a3"/>
        <w:ind w:firstLine="400"/>
      </w:pPr>
      <w:r>
        <w:rPr>
          <w:rFonts w:ascii="Times New Roman" w:hAnsi="Times New Roman" w:cs="Times New Roman"/>
          <w:sz w:val="24"/>
          <w:szCs w:val="24"/>
        </w:rPr>
        <w:t xml:space="preserve">МКС 67.200.10 </w:t>
      </w:r>
    </w:p>
    <w:p w:rsidR="00000000" w:rsidRDefault="006B5E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5E64">
      <w:pPr>
        <w:jc w:val="center"/>
      </w:pPr>
      <w:r>
        <w:rPr>
          <w:rStyle w:val="S1"/>
        </w:rPr>
        <w:t>Сведения о стандарте</w:t>
      </w:r>
    </w:p>
    <w:p w:rsidR="00000000" w:rsidRDefault="006B5E64">
      <w:pPr>
        <w:pStyle w:val="a3"/>
        <w:ind w:firstLine="400"/>
      </w:pPr>
      <w:r>
        <w:rPr>
          <w:rFonts w:ascii="Times New Roman" w:hAnsi="Times New Roman" w:cs="Times New Roman"/>
          <w:sz w:val="24"/>
          <w:szCs w:val="24"/>
        </w:rPr>
        <w:t> </w:t>
      </w:r>
    </w:p>
    <w:p w:rsidR="00000000" w:rsidRDefault="006B5E64">
      <w:pPr>
        <w:pStyle w:val="a3"/>
        <w:ind w:firstLine="400"/>
      </w:pPr>
      <w:r>
        <w:rPr>
          <w:rFonts w:ascii="Times New Roman" w:hAnsi="Times New Roman" w:cs="Times New Roman"/>
          <w:sz w:val="24"/>
          <w:szCs w:val="24"/>
        </w:rPr>
        <w:t>1 ПОДГОТОВЛЕН Государственным научным учреждением «Всероссийский научно-исследовательский институт жиров Российской академии сельскохозяйственных наук» (ГНУ «ВНИИЖ» Россельхозакадемии)</w:t>
      </w:r>
    </w:p>
    <w:p w:rsidR="00000000" w:rsidRDefault="006B5E64">
      <w:pPr>
        <w:pStyle w:val="a3"/>
        <w:ind w:firstLine="400"/>
      </w:pPr>
      <w:r>
        <w:rPr>
          <w:rFonts w:ascii="Times New Roman" w:hAnsi="Times New Roman" w:cs="Times New Roman"/>
          <w:sz w:val="24"/>
          <w:szCs w:val="24"/>
        </w:rPr>
        <w:t>2 ВНЕСЕН Федеральным агентством по техническому регулированию и метроло</w:t>
      </w:r>
      <w:r>
        <w:rPr>
          <w:rFonts w:ascii="Times New Roman" w:hAnsi="Times New Roman" w:cs="Times New Roman"/>
          <w:sz w:val="24"/>
          <w:szCs w:val="24"/>
        </w:rPr>
        <w:t>гии (ТК 238)</w:t>
      </w:r>
    </w:p>
    <w:p w:rsidR="00000000" w:rsidRDefault="006B5E64">
      <w:pPr>
        <w:pStyle w:val="a3"/>
        <w:ind w:firstLine="400"/>
      </w:pPr>
      <w:r>
        <w:rPr>
          <w:rFonts w:ascii="Times New Roman" w:hAnsi="Times New Roman" w:cs="Times New Roman"/>
          <w:sz w:val="24"/>
          <w:szCs w:val="24"/>
        </w:rPr>
        <w:t>3 ПРИНЯТ Межгосударственным советом по стандартизации, метрологии и сертификации (протокол от 7 июня 2013 г. № 43)</w:t>
      </w:r>
    </w:p>
    <w:p w:rsidR="00000000" w:rsidRDefault="006B5E64">
      <w:pPr>
        <w:pStyle w:val="a3"/>
        <w:ind w:firstLine="400"/>
      </w:pPr>
      <w:r>
        <w:rPr>
          <w:rFonts w:ascii="Times New Roman" w:hAnsi="Times New Roman" w:cs="Times New Roman"/>
          <w:sz w:val="24"/>
          <w:szCs w:val="24"/>
        </w:rPr>
        <w:t>За принятие проголосовали:</w:t>
      </w:r>
    </w:p>
    <w:p w:rsidR="00000000" w:rsidRDefault="006B5E64">
      <w:pPr>
        <w:pStyle w:val="a3"/>
        <w:ind w:firstLine="400"/>
      </w:pPr>
      <w:r>
        <w:rPr>
          <w:rFonts w:ascii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34"/>
        <w:gridCol w:w="2448"/>
        <w:gridCol w:w="4489"/>
      </w:tblGrid>
      <w:tr w:rsidR="00000000">
        <w:tc>
          <w:tcPr>
            <w:tcW w:w="11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Краткое наименование страны по МК (ИСО 3166) 004-97</w:t>
            </w:r>
          </w:p>
        </w:tc>
        <w:tc>
          <w:tcPr>
            <w:tcW w:w="10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 страны по МК (ИСО 3166) 004-97</w:t>
            </w:r>
          </w:p>
        </w:tc>
        <w:tc>
          <w:tcPr>
            <w:tcW w:w="19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1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Армения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AM</w:t>
            </w:r>
          </w:p>
        </w:tc>
        <w:tc>
          <w:tcPr>
            <w:tcW w:w="19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Минэкономики Республики Армения</w:t>
            </w:r>
          </w:p>
        </w:tc>
      </w:tr>
      <w:tr w:rsidR="00000000">
        <w:tc>
          <w:tcPr>
            <w:tcW w:w="11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Киргизия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KG</w:t>
            </w:r>
          </w:p>
        </w:tc>
        <w:tc>
          <w:tcPr>
            <w:tcW w:w="19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Кыргызстандарт</w:t>
            </w:r>
          </w:p>
        </w:tc>
      </w:tr>
      <w:tr w:rsidR="00000000">
        <w:tc>
          <w:tcPr>
            <w:tcW w:w="11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RU</w:t>
            </w:r>
          </w:p>
        </w:tc>
        <w:tc>
          <w:tcPr>
            <w:tcW w:w="19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Росстандарт</w:t>
            </w:r>
          </w:p>
        </w:tc>
      </w:tr>
      <w:tr w:rsidR="00000000">
        <w:tc>
          <w:tcPr>
            <w:tcW w:w="11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Таджикистан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TJ</w:t>
            </w:r>
          </w:p>
        </w:tc>
        <w:tc>
          <w:tcPr>
            <w:tcW w:w="19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Таджикстандарт</w:t>
            </w:r>
          </w:p>
        </w:tc>
      </w:tr>
      <w:tr w:rsidR="00000000">
        <w:tc>
          <w:tcPr>
            <w:tcW w:w="11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Узбекистан</w:t>
            </w:r>
          </w:p>
        </w:tc>
        <w:tc>
          <w:tcPr>
            <w:tcW w:w="10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UZ</w:t>
            </w:r>
          </w:p>
        </w:tc>
        <w:tc>
          <w:tcPr>
            <w:tcW w:w="19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E64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Узстандарт</w:t>
            </w:r>
          </w:p>
        </w:tc>
      </w:tr>
    </w:tbl>
    <w:p w:rsidR="00000000" w:rsidRDefault="006B5E64">
      <w:pPr>
        <w:pStyle w:val="a3"/>
        <w:ind w:firstLine="400"/>
      </w:pPr>
      <w:r>
        <w:rPr>
          <w:rFonts w:ascii="Times New Roman" w:hAnsi="Times New Roman" w:cs="Times New Roman"/>
          <w:sz w:val="24"/>
          <w:szCs w:val="24"/>
        </w:rPr>
        <w:t> </w:t>
      </w:r>
    </w:p>
    <w:p w:rsidR="00000000" w:rsidRDefault="006B5E64">
      <w:pPr>
        <w:ind w:firstLine="400"/>
        <w:jc w:val="both"/>
      </w:pPr>
      <w:r>
        <w:rPr>
          <w:rStyle w:val="S0"/>
        </w:rPr>
        <w:t>4 Настоящий стандарт соответствует следующему международному стандарту и международному документу:</w:t>
      </w:r>
    </w:p>
    <w:p w:rsidR="00000000" w:rsidRDefault="006B5E64">
      <w:pPr>
        <w:ind w:firstLine="400"/>
        <w:jc w:val="both"/>
      </w:pPr>
      <w:r>
        <w:rPr>
          <w:rStyle w:val="S0"/>
        </w:rPr>
        <w:t>- ISO 6885:1998 (Е) Animal and vegetable fats and oils - Determination of anisidine value (Жиры и масла животные и растительные. Определение анизидинового чи</w:t>
      </w:r>
      <w:r>
        <w:rPr>
          <w:rStyle w:val="S0"/>
        </w:rPr>
        <w:t>сла), (приложение Е);</w:t>
      </w:r>
    </w:p>
    <w:p w:rsidR="00000000" w:rsidRDefault="006B5E64">
      <w:pPr>
        <w:ind w:firstLine="400"/>
        <w:jc w:val="both"/>
      </w:pPr>
      <w:r>
        <w:rPr>
          <w:rStyle w:val="S0"/>
        </w:rPr>
        <w:t>- AOCS Official Method Cc 11-53 Cold Test (Метод Американского Общества Химиков-жировиков Cc 11-53 Холодный тест), (приложение Д).</w:t>
      </w:r>
    </w:p>
    <w:p w:rsidR="00000000" w:rsidRDefault="006B5E64">
      <w:pPr>
        <w:ind w:firstLine="400"/>
        <w:jc w:val="both"/>
      </w:pPr>
      <w:r>
        <w:rPr>
          <w:rStyle w:val="S0"/>
        </w:rPr>
        <w:t>Степень соответствия - неэквивалентная (NEQ).</w:t>
      </w:r>
    </w:p>
    <w:p w:rsidR="00000000" w:rsidRDefault="006B5E64">
      <w:pPr>
        <w:ind w:firstLine="400"/>
        <w:jc w:val="both"/>
      </w:pPr>
      <w:r>
        <w:rPr>
          <w:rStyle w:val="S0"/>
        </w:rPr>
        <w:t xml:space="preserve">Настоящий стандарт подготовлен на основе применения ГОСТ </w:t>
      </w:r>
      <w:r>
        <w:rPr>
          <w:rStyle w:val="S0"/>
        </w:rPr>
        <w:t>Р 52465-2005</w:t>
      </w:r>
    </w:p>
    <w:p w:rsidR="00000000" w:rsidRDefault="006B5E64">
      <w:pPr>
        <w:ind w:firstLine="400"/>
        <w:jc w:val="both"/>
      </w:pPr>
      <w:r>
        <w:rPr>
          <w:rStyle w:val="S0"/>
        </w:rPr>
        <w:t> </w:t>
      </w:r>
    </w:p>
    <w:p w:rsidR="00000000" w:rsidRDefault="006B5E64">
      <w:pPr>
        <w:ind w:firstLine="400"/>
        <w:jc w:val="both"/>
      </w:pPr>
      <w:r>
        <w:rPr>
          <w:rStyle w:val="S0"/>
        </w:rPr>
        <w:t>5 Вводится в действие на территории Республики Казахстан с 01.06.2015 г. (</w:t>
      </w:r>
      <w:hyperlink r:id="rId7" w:history="1">
        <w:r>
          <w:rPr>
            <w:rStyle w:val="a5"/>
          </w:rPr>
          <w:t>приказ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по инвестициям и раз</w:t>
      </w:r>
      <w:r>
        <w:rPr>
          <w:rStyle w:val="S0"/>
        </w:rPr>
        <w:t>витию РК от 26 декабря 2014 года № 277-од)</w:t>
      </w:r>
    </w:p>
    <w:p w:rsidR="00000000" w:rsidRDefault="006B5E64">
      <w:pPr>
        <w:ind w:firstLine="400"/>
        <w:jc w:val="both"/>
      </w:pPr>
      <w:r>
        <w:rPr>
          <w:rStyle w:val="S0"/>
        </w:rPr>
        <w:t> </w:t>
      </w:r>
    </w:p>
    <w:p w:rsidR="00000000" w:rsidRDefault="006B5E64">
      <w:pPr>
        <w:ind w:firstLine="400"/>
        <w:jc w:val="both"/>
      </w:pPr>
      <w:r>
        <w:rPr>
          <w:rStyle w:val="S0"/>
        </w:rPr>
        <w:t xml:space="preserve">6 </w:t>
      </w:r>
      <w:r>
        <w:rPr>
          <w:rStyle w:val="S0"/>
          <w:caps/>
        </w:rPr>
        <w:t>Взамен</w:t>
      </w:r>
      <w:r>
        <w:rPr>
          <w:rStyle w:val="S0"/>
        </w:rPr>
        <w:t xml:space="preserve"> </w:t>
      </w:r>
      <w:hyperlink r:id="rId8" w:history="1">
        <w:r>
          <w:rPr>
            <w:rStyle w:val="a5"/>
          </w:rPr>
          <w:t>ГОСТ 1129-93</w:t>
        </w:r>
      </w:hyperlink>
    </w:p>
    <w:p w:rsidR="00000000" w:rsidRDefault="006B5E64">
      <w:pPr>
        <w:pStyle w:val="a3"/>
        <w:ind w:firstLine="400"/>
      </w:pPr>
      <w:r>
        <w:t> </w:t>
      </w:r>
    </w:p>
    <w:p w:rsidR="00000000" w:rsidRDefault="006B5E64">
      <w:pPr>
        <w:pStyle w:val="a3"/>
        <w:ind w:firstLine="400"/>
      </w:pPr>
      <w:r>
        <w:rPr>
          <w:rFonts w:ascii="Times New Roman" w:hAnsi="Times New Roman" w:cs="Times New Roman"/>
          <w:i/>
          <w:iCs/>
          <w:sz w:val="24"/>
          <w:szCs w:val="24"/>
        </w:rPr>
        <w:t>Информация об изменениях к настоящему стандарту публикуется в ежегодном информационном указателе «Национальные стандарты»,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а текст изменений и поправок - в ежемесячном информационном указателе «Национальные стандарты». В случае пересмотра (замены) или отмены настоящего стандарта соответствующее уведомление будет опубликовано в ежемесячном информационном указателе «Национальны</w:t>
      </w:r>
      <w:r>
        <w:rPr>
          <w:rFonts w:ascii="Times New Roman" w:hAnsi="Times New Roman" w:cs="Times New Roman"/>
          <w:i/>
          <w:iCs/>
          <w:sz w:val="24"/>
          <w:szCs w:val="24"/>
        </w:rPr>
        <w:t>е стандарты». Соответствующая информация, уведомление и тексты размещаются также в информационной системе общего пользования - на официальном сайте Федерального агентства по техническому регулированию и метрологии в сети Интернет</w:t>
      </w:r>
    </w:p>
    <w:p w:rsidR="00000000" w:rsidRDefault="006B5E64">
      <w:pPr>
        <w:pStyle w:val="a3"/>
        <w:ind w:firstLine="400"/>
      </w:pPr>
      <w:r>
        <w:rPr>
          <w:rFonts w:ascii="Times New Roman" w:hAnsi="Times New Roman" w:cs="Times New Roman"/>
          <w:sz w:val="24"/>
          <w:szCs w:val="24"/>
        </w:rPr>
        <w:t xml:space="preserve">ВНЕСЕНА </w:t>
      </w:r>
      <w:hyperlink r:id="rId9" w:anchor="sub_id=3" w:history="1">
        <w:r>
          <w:rPr>
            <w:rStyle w:val="a5"/>
            <w:rFonts w:ascii="Times New Roman" w:hAnsi="Times New Roman" w:cs="Times New Roman"/>
            <w:sz w:val="24"/>
            <w:szCs w:val="24"/>
          </w:rPr>
          <w:t>поправка</w:t>
        </w:r>
      </w:hyperlink>
      <w:r>
        <w:rPr>
          <w:rFonts w:ascii="Times New Roman" w:hAnsi="Times New Roman" w:cs="Times New Roman"/>
          <w:sz w:val="24"/>
          <w:szCs w:val="24"/>
        </w:rPr>
        <w:t>, опубликованная в ИУС № 12, 2014 год</w:t>
      </w:r>
    </w:p>
    <w:p w:rsidR="00000000" w:rsidRDefault="006B5E64">
      <w:pPr>
        <w:pStyle w:val="a3"/>
        <w:ind w:firstLine="400"/>
      </w:pPr>
      <w:r>
        <w:rPr>
          <w:rFonts w:ascii="Times New Roman" w:hAnsi="Times New Roman" w:cs="Times New Roman"/>
          <w:sz w:val="24"/>
          <w:szCs w:val="24"/>
        </w:rPr>
        <w:t> </w:t>
      </w:r>
    </w:p>
    <w:p w:rsidR="00000000" w:rsidRDefault="006B5E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5E64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E64" w:rsidRDefault="006B5E64" w:rsidP="006B5E64">
      <w:r>
        <w:separator/>
      </w:r>
    </w:p>
  </w:endnote>
  <w:endnote w:type="continuationSeparator" w:id="0">
    <w:p w:rsidR="006B5E64" w:rsidRDefault="006B5E64" w:rsidP="006B5E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E64" w:rsidRDefault="006B5E6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E64" w:rsidRDefault="006B5E6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E64" w:rsidRDefault="006B5E6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E64" w:rsidRDefault="006B5E64" w:rsidP="006B5E64">
      <w:r>
        <w:separator/>
      </w:r>
    </w:p>
  </w:footnote>
  <w:footnote w:type="continuationSeparator" w:id="0">
    <w:p w:rsidR="006B5E64" w:rsidRDefault="006B5E64" w:rsidP="006B5E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E64" w:rsidRDefault="006B5E6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E64" w:rsidRDefault="006B5E64" w:rsidP="006B5E6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5E64" w:rsidRPr="006B5E64" w:rsidRDefault="006B5E64" w:rsidP="006B5E6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1129-2013 «МАСЛО ПОДСОЛНЕЧНОЕ. ТЕХНИЧЕСКИЕ УСЛОВИЯ» (С...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E64" w:rsidRDefault="006B5E6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5E64"/>
    <w:rsid w:val="006B5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Pr>
      <w:rFonts w:ascii="Tahoma" w:eastAsiaTheme="minorEastAsia" w:hAnsi="Tahoma" w:cs="Tahoma"/>
      <w:color w:val="000000"/>
      <w:sz w:val="16"/>
      <w:szCs w:val="16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B5E6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B5E6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B5E6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B5E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Pr>
      <w:rFonts w:ascii="Tahoma" w:eastAsiaTheme="minorEastAsia" w:hAnsi="Tahoma" w:cs="Tahoma"/>
      <w:color w:val="000000"/>
      <w:sz w:val="16"/>
      <w:szCs w:val="16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B5E6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B5E6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B5E6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B5E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853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98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14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2211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1129-2013 «МАСЛО ПОДСОЛНЕЧНОЕ. ТЕХНИЧЕСКИЕ УСЛОВИЯ» (С...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2024-07-01T06:32:00Z</dcterms:created>
  <dcterms:modified xsi:type="dcterms:W3CDTF">2024-07-01T06:32:00Z</dcterms:modified>
</cp:coreProperties>
</file>